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输血治疗关键技术创新与推广应用</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项目简介</w:t>
      </w:r>
    </w:p>
    <w:p>
      <w:pPr>
        <w:numPr>
          <w:numId w:val="0"/>
        </w:numP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一、</w:t>
      </w:r>
      <w:r>
        <w:rPr>
          <w:rFonts w:hint="eastAsia" w:ascii="黑体" w:hAnsi="黑体" w:eastAsia="黑体" w:cs="黑体"/>
          <w:bCs/>
          <w:color w:val="000000"/>
          <w:kern w:val="0"/>
          <w:sz w:val="32"/>
          <w:szCs w:val="32"/>
        </w:rPr>
        <w:t>项目名称</w:t>
      </w:r>
    </w:p>
    <w:p>
      <w:pPr>
        <w:numPr>
          <w:numId w:val="0"/>
        </w:numPr>
        <w:rPr>
          <w:rFonts w:hint="eastAsia" w:ascii="仿宋" w:hAnsi="仿宋" w:eastAsia="仿宋" w:cs="仿宋"/>
          <w:bCs/>
          <w:color w:val="000000"/>
          <w:kern w:val="0"/>
          <w:sz w:val="32"/>
          <w:szCs w:val="32"/>
        </w:rPr>
      </w:pPr>
      <w:r>
        <w:rPr>
          <w:rFonts w:hint="eastAsia" w:ascii="仿宋" w:hAnsi="仿宋" w:eastAsia="仿宋" w:cs="仿宋"/>
          <w:color w:val="000000"/>
          <w:sz w:val="32"/>
          <w:szCs w:val="32"/>
        </w:rPr>
        <w:t>输血治疗关键技术创新与推广应用</w:t>
      </w:r>
    </w:p>
    <w:p>
      <w:pPr>
        <w:numPr>
          <w:ilvl w:val="0"/>
          <w:numId w:val="0"/>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二、提名单位及提名意见</w:t>
      </w:r>
    </w:p>
    <w:p>
      <w:pPr>
        <w:rPr>
          <w:rFonts w:hint="eastAsia" w:ascii="楷体" w:hAnsi="楷体" w:eastAsia="楷体" w:cs="楷体"/>
          <w:bCs/>
          <w:color w:val="000000"/>
          <w:kern w:val="0"/>
          <w:sz w:val="32"/>
          <w:szCs w:val="32"/>
        </w:rPr>
      </w:pP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lang w:val="en-US" w:eastAsia="zh-CN"/>
        </w:rPr>
        <w:t>一</w:t>
      </w: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rPr>
        <w:t>提名单位</w:t>
      </w:r>
    </w:p>
    <w:p>
      <w:pPr>
        <w:rPr>
          <w:rFonts w:hint="eastAsia" w:ascii="仿宋" w:hAnsi="仿宋" w:eastAsia="仿宋" w:cs="仿宋"/>
          <w:bCs/>
          <w:color w:val="000000"/>
          <w:kern w:val="0"/>
          <w:sz w:val="32"/>
          <w:szCs w:val="32"/>
          <w:lang w:val="en-US" w:eastAsia="zh-CN"/>
        </w:rPr>
      </w:pPr>
      <w:r>
        <w:rPr>
          <w:rFonts w:hint="eastAsia" w:ascii="仿宋" w:hAnsi="仿宋" w:eastAsia="仿宋" w:cs="仿宋"/>
          <w:bCs/>
          <w:color w:val="000000"/>
          <w:kern w:val="0"/>
          <w:sz w:val="32"/>
          <w:szCs w:val="32"/>
          <w:lang w:val="en-US" w:eastAsia="zh-CN"/>
        </w:rPr>
        <w:t>成都市科技局</w:t>
      </w:r>
    </w:p>
    <w:p>
      <w:pPr>
        <w:numPr>
          <w:numId w:val="0"/>
        </w:numPr>
        <w:rPr>
          <w:rFonts w:hint="eastAsia" w:ascii="楷体" w:hAnsi="楷体" w:eastAsia="楷体" w:cs="楷体"/>
          <w:bCs/>
          <w:color w:val="000000"/>
          <w:kern w:val="0"/>
          <w:sz w:val="32"/>
          <w:szCs w:val="32"/>
        </w:rPr>
      </w:pP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lang w:val="en-US" w:eastAsia="zh-CN"/>
        </w:rPr>
        <w:t>二</w:t>
      </w:r>
      <w:r>
        <w:rPr>
          <w:rFonts w:hint="eastAsia" w:ascii="楷体" w:hAnsi="楷体" w:eastAsia="楷体" w:cs="楷体"/>
          <w:bCs/>
          <w:color w:val="000000"/>
          <w:kern w:val="0"/>
          <w:sz w:val="32"/>
          <w:szCs w:val="32"/>
          <w:lang w:eastAsia="zh-CN"/>
        </w:rPr>
        <w:t>）</w:t>
      </w:r>
      <w:r>
        <w:rPr>
          <w:rFonts w:hint="eastAsia" w:ascii="楷体" w:hAnsi="楷体" w:eastAsia="楷体" w:cs="楷体"/>
          <w:bCs/>
          <w:color w:val="000000"/>
          <w:kern w:val="0"/>
          <w:sz w:val="32"/>
          <w:szCs w:val="32"/>
        </w:rPr>
        <w:t>提名意见</w:t>
      </w:r>
    </w:p>
    <w:p>
      <w:pPr>
        <w:spacing w:line="360" w:lineRule="auto"/>
        <w:ind w:firstLine="480"/>
        <w:jc w:val="both"/>
        <w:rPr>
          <w:rFonts w:hint="eastAsia" w:ascii="仿宋" w:hAnsi="仿宋" w:eastAsia="仿宋" w:cs="仿宋"/>
          <w:sz w:val="32"/>
          <w:szCs w:val="32"/>
        </w:rPr>
      </w:pPr>
      <w:r>
        <w:rPr>
          <w:rFonts w:hint="eastAsia" w:ascii="仿宋" w:hAnsi="仿宋" w:eastAsia="仿宋" w:cs="仿宋"/>
          <w:sz w:val="32"/>
          <w:szCs w:val="32"/>
        </w:rPr>
        <w:t>血液是重要的医疗物资和战略资源，输血安全关系人民健康和国家安全。本项目从经输血传播病原体防控等出发，研制新型输血安全保障新技术；从血液的制备和保存出发，研发新型输血有效保障新技术；从恢复期血浆防控新冠疫情出发，研制新发突发病原体恢复期血浆防控新技术。从技术上整体提高输血的安全性和有效性。项目在医学及输血医学顶级期刊发表系列高水平论文、出版专著；形成国家卫生行业标准，国际学术会议大会报告10余次。授权国内发明专利3项，国际发明专利 1 项，成果转化3项。项目主论文发表于医学顶级期刊JAMA，被列入WOS核心库热点论文、高被引论文和F1000论文。</w:t>
      </w:r>
    </w:p>
    <w:p>
      <w:pPr>
        <w:spacing w:line="360" w:lineRule="auto"/>
        <w:ind w:firstLine="480"/>
        <w:jc w:val="both"/>
        <w:rPr>
          <w:rFonts w:hint="eastAsia" w:ascii="仿宋" w:hAnsi="仿宋" w:eastAsia="仿宋" w:cs="仿宋"/>
          <w:sz w:val="32"/>
          <w:szCs w:val="32"/>
        </w:rPr>
      </w:pPr>
      <w:r>
        <w:rPr>
          <w:rFonts w:hint="eastAsia" w:ascii="仿宋" w:hAnsi="仿宋" w:eastAsia="仿宋" w:cs="仿宋"/>
          <w:sz w:val="32"/>
          <w:szCs w:val="32"/>
        </w:rPr>
        <w:t>经科学技术部西南信息中心查新中心检索，涉及本项目技术特点的输血治疗关键技术创新与推广应用，在所检文献以及时限范围内，国内外未见文献报道。</w:t>
      </w:r>
    </w:p>
    <w:p>
      <w:pPr>
        <w:spacing w:line="360" w:lineRule="auto"/>
        <w:ind w:firstLine="480"/>
        <w:jc w:val="both"/>
        <w:rPr>
          <w:rFonts w:hint="eastAsia" w:ascii="仿宋" w:hAnsi="仿宋" w:eastAsia="仿宋" w:cs="仿宋"/>
          <w:sz w:val="32"/>
          <w:szCs w:val="32"/>
        </w:rPr>
      </w:pPr>
      <w:r>
        <w:rPr>
          <w:rFonts w:hint="eastAsia" w:ascii="仿宋" w:hAnsi="仿宋" w:eastAsia="仿宋" w:cs="仿宋"/>
          <w:sz w:val="32"/>
          <w:szCs w:val="32"/>
        </w:rPr>
        <w:t>本项目研制的输血治疗关键技术有重大创新，技术难度大，可有效解决血液检测窗口期等技术瓶颈、有效防控新发突发病原体疫情等。总体技术水平和主要技术指标达到同类技术的国际领先水平，并在行业得到广泛应用，取得了重大的社会效益、提高国家血液安全水平，对输血医学科技发展和社会进步有重大意义。</w:t>
      </w:r>
    </w:p>
    <w:p>
      <w:pPr>
        <w:ind w:firstLine="480"/>
        <w:jc w:val="both"/>
        <w:rPr>
          <w:rFonts w:hint="eastAsia" w:ascii="仿宋" w:hAnsi="仿宋" w:eastAsia="仿宋" w:cs="仿宋"/>
          <w:bCs/>
          <w:color w:val="000000"/>
          <w:kern w:val="0"/>
          <w:sz w:val="32"/>
          <w:szCs w:val="32"/>
        </w:rPr>
      </w:pPr>
      <w:r>
        <w:rPr>
          <w:rFonts w:hint="eastAsia" w:ascii="仿宋" w:hAnsi="仿宋" w:eastAsia="仿宋" w:cs="仿宋"/>
          <w:sz w:val="32"/>
          <w:szCs w:val="32"/>
        </w:rPr>
        <w:t>提名该项目为2023年度四川省科学技术进步奖。</w:t>
      </w:r>
    </w:p>
    <w:p>
      <w:pPr>
        <w:numPr>
          <w:numId w:val="0"/>
        </w:numP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val="en-US" w:eastAsia="zh-CN"/>
        </w:rPr>
        <w:t>三、</w:t>
      </w:r>
      <w:r>
        <w:rPr>
          <w:rFonts w:hint="eastAsia" w:ascii="黑体" w:hAnsi="黑体" w:eastAsia="黑体" w:cs="黑体"/>
          <w:bCs/>
          <w:color w:val="000000"/>
          <w:kern w:val="0"/>
          <w:sz w:val="32"/>
          <w:szCs w:val="32"/>
        </w:rPr>
        <w:t>主要知识产权和标准规范等目录</w:t>
      </w:r>
    </w:p>
    <w:p>
      <w:pPr>
        <w:pStyle w:val="15"/>
        <w:numPr>
          <w:numId w:val="0"/>
        </w:numPr>
        <w:ind w:leftChars="0"/>
        <w:jc w:val="left"/>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专利目录</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2832"/>
        <w:gridCol w:w="1896"/>
        <w:gridCol w:w="1236"/>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61"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专利名称</w:t>
            </w:r>
          </w:p>
        </w:tc>
        <w:tc>
          <w:tcPr>
            <w:tcW w:w="1112"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授权专利号/</w:t>
            </w:r>
          </w:p>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专利申请号</w:t>
            </w:r>
          </w:p>
        </w:tc>
        <w:tc>
          <w:tcPr>
            <w:tcW w:w="725"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专利类型</w:t>
            </w:r>
          </w:p>
        </w:tc>
        <w:tc>
          <w:tcPr>
            <w:tcW w:w="1046"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b/>
                <w:sz w:val="24"/>
                <w:szCs w:val="24"/>
              </w:rPr>
            </w:pPr>
            <w:r>
              <w:rPr>
                <w:rFonts w:hint="eastAsia" w:ascii="仿宋" w:hAnsi="仿宋" w:eastAsia="仿宋" w:cs="仿宋"/>
                <w:b/>
                <w:sz w:val="24"/>
                <w:szCs w:val="24"/>
              </w:rPr>
              <w:t>专利权属人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661"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一种生物液体样本中病原体的核黄素光化学灭活方法</w:t>
            </w:r>
          </w:p>
        </w:tc>
        <w:tc>
          <w:tcPr>
            <w:tcW w:w="1112"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202011197064.7</w:t>
            </w:r>
          </w:p>
        </w:tc>
        <w:tc>
          <w:tcPr>
            <w:tcW w:w="725"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发明专利</w:t>
            </w:r>
          </w:p>
        </w:tc>
        <w:tc>
          <w:tcPr>
            <w:tcW w:w="1046"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中国医学科学院输血研究所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661"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一种辐照设备</w:t>
            </w:r>
          </w:p>
        </w:tc>
        <w:tc>
          <w:tcPr>
            <w:tcW w:w="1112"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 xml:space="preserve">202011390656.0 </w:t>
            </w:r>
          </w:p>
        </w:tc>
        <w:tc>
          <w:tcPr>
            <w:tcW w:w="725"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发明专利</w:t>
            </w:r>
          </w:p>
        </w:tc>
        <w:tc>
          <w:tcPr>
            <w:tcW w:w="1046"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中国医学科学院输血研究所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661"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检测S蛋白RBD抗体评价恢复期血浆抗病毒能力的方法</w:t>
            </w:r>
          </w:p>
        </w:tc>
        <w:tc>
          <w:tcPr>
            <w:tcW w:w="1112"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202010284126.1</w:t>
            </w:r>
          </w:p>
        </w:tc>
        <w:tc>
          <w:tcPr>
            <w:tcW w:w="725"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发明专利</w:t>
            </w:r>
          </w:p>
        </w:tc>
        <w:tc>
          <w:tcPr>
            <w:tcW w:w="1046"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中国医学科学院输血研究所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4"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661"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利用核黄素光化学法灭活血液成分病原体的设备和方法</w:t>
            </w:r>
          </w:p>
        </w:tc>
        <w:tc>
          <w:tcPr>
            <w:tcW w:w="1112"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2022/13806</w:t>
            </w:r>
          </w:p>
        </w:tc>
        <w:tc>
          <w:tcPr>
            <w:tcW w:w="725"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南非发明专利</w:t>
            </w:r>
          </w:p>
        </w:tc>
        <w:tc>
          <w:tcPr>
            <w:tcW w:w="1046" w:type="pct"/>
            <w:tcBorders>
              <w:top w:val="single" w:color="auto" w:sz="4" w:space="0"/>
              <w:left w:val="single" w:color="auto" w:sz="4" w:space="0"/>
              <w:bottom w:val="single" w:color="auto" w:sz="4" w:space="0"/>
              <w:right w:val="single" w:color="auto" w:sz="4" w:space="0"/>
            </w:tcBorders>
            <w:vAlign w:val="center"/>
          </w:tcPr>
          <w:p>
            <w:pPr>
              <w:spacing w:after="160" w:line="254" w:lineRule="auto"/>
              <w:jc w:val="center"/>
              <w:rPr>
                <w:rFonts w:hint="eastAsia" w:ascii="仿宋" w:hAnsi="仿宋" w:eastAsia="仿宋" w:cs="仿宋"/>
                <w:sz w:val="24"/>
                <w:szCs w:val="24"/>
              </w:rPr>
            </w:pPr>
            <w:r>
              <w:rPr>
                <w:rFonts w:hint="eastAsia" w:ascii="仿宋" w:hAnsi="仿宋" w:eastAsia="仿宋" w:cs="仿宋"/>
                <w:sz w:val="24"/>
                <w:szCs w:val="24"/>
              </w:rPr>
              <w:t>中国医学科学院输血研究所</w:t>
            </w:r>
          </w:p>
        </w:tc>
      </w:tr>
    </w:tbl>
    <w:p>
      <w:pPr>
        <w:jc w:val="left"/>
        <w:rPr>
          <w:rFonts w:ascii="宋体" w:hAnsi="宋体" w:eastAsia="宋体"/>
          <w:sz w:val="24"/>
          <w:szCs w:val="24"/>
        </w:rPr>
      </w:pPr>
    </w:p>
    <w:p>
      <w:pPr>
        <w:pStyle w:val="15"/>
        <w:numPr>
          <w:numId w:val="0"/>
        </w:numPr>
        <w:jc w:val="left"/>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标准规范目录</w:t>
      </w:r>
    </w:p>
    <w:p>
      <w:pPr>
        <w:pStyle w:val="15"/>
        <w:numPr>
          <w:numId w:val="0"/>
        </w:numPr>
        <w:ind w:leftChars="200"/>
        <w:jc w:val="left"/>
        <w:rPr>
          <w:rFonts w:ascii="宋体" w:hAnsi="宋体" w:eastAsia="宋体"/>
          <w:sz w:val="24"/>
          <w:szCs w:val="24"/>
        </w:rPr>
      </w:pPr>
      <w:r>
        <w:rPr>
          <w:rFonts w:hint="eastAsia" w:ascii="仿宋" w:hAnsi="仿宋" w:eastAsia="仿宋" w:cs="仿宋"/>
          <w:sz w:val="32"/>
          <w:szCs w:val="32"/>
        </w:rPr>
        <w:t>《全血和成分血使用》（WS/T623-2018），发布时间：2018-9-26，实施时间：2019-4-1</w:t>
      </w:r>
    </w:p>
    <w:p>
      <w:pPr>
        <w:numPr>
          <w:ilvl w:val="0"/>
          <w:numId w:val="0"/>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四、论文专著目录</w:t>
      </w:r>
    </w:p>
    <w:p>
      <w:pPr>
        <w:jc w:val="left"/>
        <w:rPr>
          <w:rFonts w:ascii="宋体" w:hAnsi="宋体" w:eastAsia="宋体"/>
          <w:sz w:val="24"/>
          <w:szCs w:val="24"/>
        </w:rPr>
      </w:pPr>
    </w:p>
    <w:tbl>
      <w:tblPr>
        <w:tblStyle w:val="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907"/>
        <w:gridCol w:w="2329"/>
        <w:gridCol w:w="1309"/>
        <w:gridCol w:w="1164"/>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序号</w:t>
            </w:r>
          </w:p>
        </w:tc>
        <w:tc>
          <w:tcPr>
            <w:tcW w:w="1119"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题目</w:t>
            </w:r>
          </w:p>
        </w:tc>
        <w:tc>
          <w:tcPr>
            <w:tcW w:w="1366"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作者</w:t>
            </w:r>
          </w:p>
        </w:tc>
        <w:tc>
          <w:tcPr>
            <w:tcW w:w="768"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来源出版物</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影响因子（2021）</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JCR分区</w:t>
            </w:r>
          </w:p>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1</w:t>
            </w:r>
          </w:p>
        </w:tc>
        <w:tc>
          <w:tcPr>
            <w:tcW w:w="1119"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Effect of Convalescent Plasma Therapy on Time to Clinical Improvement in Patients With Severe and Life-threatening COVID-19 A Randomized Clinical Trial</w:t>
            </w:r>
          </w:p>
        </w:tc>
        <w:tc>
          <w:tcPr>
            <w:tcW w:w="1366"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Ling Li†, Wei Zhang†, Yu Hu†, Xunliang Tong, Shangen Zheng, Juntao Yang, Yujie Kong, Lili Ren, Qing Wei, Heng Mei, Caiying Hu, Cuihua Tao, Ru Yang, Jue Wang, Yongpei Yu, Yong Guo, Xiaoxiong Wu, Zhihua Xu, Li Zeng, Nian Xiong, Lifeng Chen, Juan Wang, Ning Man, Yu Liu, Haixia Xu, E Deng, Xuejun Zhang, Chenyue Li, Conghui Wang, Shisheng SU, Linqi Zhang, Jianwei Wang, Yanyun Wu*, Zhong Liu*</w:t>
            </w:r>
          </w:p>
        </w:tc>
        <w:tc>
          <w:tcPr>
            <w:tcW w:w="768" w:type="pct"/>
            <w:tcBorders>
              <w:top w:val="single" w:color="auto" w:sz="4" w:space="0"/>
              <w:left w:val="nil"/>
              <w:bottom w:val="single" w:color="auto" w:sz="4" w:space="0"/>
              <w:right w:val="single" w:color="auto" w:sz="4" w:space="0"/>
            </w:tcBorders>
            <w:shd w:val="clear" w:color="auto" w:fill="auto"/>
          </w:tcPr>
          <w:p>
            <w:pPr>
              <w:spacing w:line="252" w:lineRule="auto"/>
              <w:jc w:val="lef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JAMA-JOURNAL OF THE AMERICAN MEDICAL ASSOCIATION</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157.375</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2"/>
                <w:sz w:val="24"/>
                <w:szCs w:val="24"/>
                <w:lang w:bidi="ar"/>
              </w:rPr>
              <w:t>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2</w:t>
            </w:r>
          </w:p>
        </w:tc>
        <w:tc>
          <w:tcPr>
            <w:tcW w:w="1119"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Haematological characteristics and risk factors in the classification and prognosis evaluation of COVID-19: a retrospective cohort study</w:t>
            </w:r>
          </w:p>
        </w:tc>
        <w:tc>
          <w:tcPr>
            <w:tcW w:w="1366"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Danying Liao, Fen Zhou, Lili Luo, Min Xu, Hongbo Wang, Jiahong Xia, Yong Gao , Liqiong Cai, Zhihui Wang, Ping Yin , Yadan Wang, Lu Tang, Jun Deng , Heng Mei, Yu Hu</w:t>
            </w:r>
          </w:p>
        </w:tc>
        <w:tc>
          <w:tcPr>
            <w:tcW w:w="768"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LANCET HAEMATOL</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30.15</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3</w:t>
            </w:r>
          </w:p>
        </w:tc>
        <w:tc>
          <w:tcPr>
            <w:tcW w:w="1119"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highlight w:val="yellow"/>
              </w:rPr>
            </w:pPr>
            <w:r>
              <w:rPr>
                <w:rFonts w:hint="default" w:ascii="Times New Roman" w:hAnsi="Times New Roman" w:eastAsia="宋体" w:cs="Times New Roman"/>
                <w:bCs/>
                <w:color w:val="000000"/>
                <w:kern w:val="0"/>
                <w:sz w:val="24"/>
                <w:szCs w:val="24"/>
              </w:rPr>
              <w:t>Preventing murine transfusion related acute lung injury by expansion of CD4+CD25+ FoxP3+Tregs usingIL-2/anti-IL-2comnplexes.</w:t>
            </w:r>
          </w:p>
        </w:tc>
        <w:tc>
          <w:tcPr>
            <w:tcW w:w="1366"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highlight w:val="yellow"/>
              </w:rPr>
            </w:pPr>
            <w:r>
              <w:rPr>
                <w:rFonts w:hint="default" w:ascii="Times New Roman" w:hAnsi="Times New Roman" w:eastAsia="宋体" w:cs="Times New Roman"/>
                <w:bCs/>
                <w:color w:val="000000"/>
                <w:kern w:val="0"/>
                <w:sz w:val="24"/>
                <w:szCs w:val="24"/>
              </w:rPr>
              <w:t>Rui He, Ling Li, Yujie kong, Tian L，Tian X, Fang P, Bian M. Liu Z*</w:t>
            </w:r>
          </w:p>
        </w:tc>
        <w:tc>
          <w:tcPr>
            <w:tcW w:w="768" w:type="pct"/>
            <w:tcBorders>
              <w:top w:val="single" w:color="auto" w:sz="4" w:space="0"/>
              <w:left w:val="nil"/>
              <w:bottom w:val="single" w:color="auto" w:sz="4" w:space="0"/>
              <w:right w:val="single" w:color="auto" w:sz="4" w:space="0"/>
            </w:tcBorders>
            <w:shd w:val="clear" w:color="auto" w:fill="auto"/>
          </w:tcPr>
          <w:p>
            <w:pPr>
              <w:spacing w:line="252" w:lineRule="auto"/>
              <w:jc w:val="left"/>
              <w:rPr>
                <w:rFonts w:hint="default" w:ascii="Times New Roman" w:hAnsi="Times New Roman" w:eastAsia="宋体" w:cs="Times New Roman"/>
                <w:bCs/>
                <w:color w:val="000000"/>
                <w:kern w:val="0"/>
                <w:sz w:val="24"/>
                <w:szCs w:val="24"/>
                <w:highlight w:val="yellow"/>
              </w:rPr>
            </w:pPr>
            <w:r>
              <w:rPr>
                <w:rFonts w:hint="default" w:ascii="Times New Roman" w:hAnsi="Times New Roman" w:eastAsia="宋体" w:cs="Times New Roman"/>
                <w:bCs/>
                <w:color w:val="000000"/>
                <w:kern w:val="0"/>
                <w:sz w:val="24"/>
                <w:szCs w:val="24"/>
              </w:rPr>
              <w:t>TRANSFUSION</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highlight w:val="yellow"/>
              </w:rPr>
            </w:pPr>
            <w:r>
              <w:rPr>
                <w:rFonts w:hint="default" w:ascii="Times New Roman" w:hAnsi="Times New Roman" w:eastAsia="宋体" w:cs="Times New Roman"/>
                <w:bCs/>
                <w:color w:val="000000"/>
                <w:kern w:val="0"/>
                <w:sz w:val="24"/>
                <w:szCs w:val="24"/>
              </w:rPr>
              <w:t>3.337</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highlight w:val="yellow"/>
              </w:rPr>
            </w:pPr>
            <w:r>
              <w:rPr>
                <w:rFonts w:hint="default" w:ascii="Times New Roman" w:hAnsi="Times New Roman" w:eastAsia="宋体" w:cs="Times New Roman"/>
                <w:bCs/>
                <w:color w:val="000000"/>
                <w:kern w:val="2"/>
                <w:sz w:val="24"/>
                <w:szCs w:val="24"/>
                <w:lang w:bidi="ar"/>
              </w:rPr>
              <w:t>3区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4</w:t>
            </w:r>
          </w:p>
        </w:tc>
        <w:tc>
          <w:tcPr>
            <w:tcW w:w="1119"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Analysis of viral load in different specimen types and serum antibody levels of COVID-19 patients</w:t>
            </w:r>
          </w:p>
        </w:tc>
        <w:tc>
          <w:tcPr>
            <w:tcW w:w="1366"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Ling Li†, Chianru Tan†, Jia Zeng†, Chen Luo, Shi Hu, Yanke Peng, Wenjuan Li, Zhixiong Xie, Yueming Ling, Xuejun Zhang, E. Deng, Haixia Xu, Jue Wang, Yudi Xie, Yaling Zhou, Wei Zhang*, Yong Guo* and Zhong Liu*</w:t>
            </w:r>
          </w:p>
        </w:tc>
        <w:tc>
          <w:tcPr>
            <w:tcW w:w="768" w:type="pct"/>
            <w:tcBorders>
              <w:top w:val="single" w:color="auto" w:sz="4" w:space="0"/>
              <w:left w:val="nil"/>
              <w:bottom w:val="single" w:color="auto" w:sz="4" w:space="0"/>
              <w:right w:val="single" w:color="auto" w:sz="4" w:space="0"/>
            </w:tcBorders>
            <w:shd w:val="clear" w:color="auto" w:fill="auto"/>
          </w:tcPr>
          <w:p>
            <w:pPr>
              <w:spacing w:line="252" w:lineRule="auto"/>
              <w:jc w:val="left"/>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JOURNAL OF TRANSLATIONAL MEDICINE</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8.448</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default" w:ascii="Times New Roman" w:hAnsi="Times New Roman" w:eastAsia="宋体" w:cs="Times New Roman"/>
                <w:bCs/>
                <w:color w:val="000000"/>
                <w:kern w:val="0"/>
                <w:sz w:val="24"/>
                <w:szCs w:val="24"/>
              </w:rPr>
            </w:pPr>
            <w:r>
              <w:rPr>
                <w:rFonts w:hint="default" w:ascii="Times New Roman" w:hAnsi="Times New Roman" w:eastAsia="宋体" w:cs="Times New Roman"/>
                <w:bCs/>
                <w:color w:val="000000"/>
                <w:kern w:val="2"/>
                <w:sz w:val="24"/>
                <w:szCs w:val="24"/>
                <w:lang w:bidi="ar"/>
              </w:rPr>
              <w:t>1区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pct"/>
            <w:tcBorders>
              <w:top w:val="single" w:color="auto" w:sz="4" w:space="0"/>
              <w:left w:val="single" w:color="auto" w:sz="4" w:space="0"/>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lang w:bidi="ar"/>
              </w:rPr>
              <w:t>5</w:t>
            </w:r>
          </w:p>
        </w:tc>
        <w:tc>
          <w:tcPr>
            <w:tcW w:w="1119"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eastAsia" w:ascii="仿宋" w:hAnsi="仿宋" w:eastAsia="仿宋" w:cs="仿宋"/>
                <w:bCs/>
                <w:color w:val="000000"/>
                <w:kern w:val="0"/>
                <w:sz w:val="24"/>
                <w:szCs w:val="24"/>
              </w:rPr>
            </w:pPr>
            <w:r>
              <w:rPr>
                <w:rFonts w:hint="eastAsia" w:ascii="仿宋" w:hAnsi="仿宋" w:eastAsia="仿宋" w:cs="仿宋"/>
                <w:kern w:val="0"/>
                <w:sz w:val="24"/>
                <w:szCs w:val="24"/>
              </w:rPr>
              <w:t>基于三代测序技术的RHD、RHCE基因mRNA研究</w:t>
            </w:r>
          </w:p>
        </w:tc>
        <w:tc>
          <w:tcPr>
            <w:tcW w:w="1366" w:type="pct"/>
            <w:tcBorders>
              <w:top w:val="single" w:color="auto" w:sz="4" w:space="0"/>
              <w:left w:val="nil"/>
              <w:bottom w:val="single" w:color="auto" w:sz="4" w:space="0"/>
              <w:right w:val="single" w:color="auto" w:sz="4" w:space="0"/>
            </w:tcBorders>
            <w:shd w:val="clear" w:color="auto" w:fill="auto"/>
          </w:tcPr>
          <w:p>
            <w:pPr>
              <w:snapToGrid w:val="0"/>
              <w:spacing w:line="252" w:lineRule="auto"/>
              <w:jc w:val="left"/>
              <w:rPr>
                <w:rFonts w:hint="eastAsia" w:ascii="仿宋" w:hAnsi="仿宋" w:eastAsia="仿宋" w:cs="仿宋"/>
                <w:bCs/>
                <w:color w:val="000000"/>
                <w:kern w:val="0"/>
                <w:sz w:val="24"/>
                <w:szCs w:val="24"/>
              </w:rPr>
            </w:pPr>
            <w:r>
              <w:rPr>
                <w:rFonts w:hint="eastAsia" w:ascii="仿宋" w:hAnsi="仿宋" w:eastAsia="仿宋" w:cs="仿宋"/>
                <w:kern w:val="0"/>
                <w:sz w:val="24"/>
                <w:szCs w:val="24"/>
              </w:rPr>
              <w:t>官笑羽,纪欣,李玲,徐海霞,田力,任琪,何知航,王珏,刘忠</w:t>
            </w:r>
          </w:p>
        </w:tc>
        <w:tc>
          <w:tcPr>
            <w:tcW w:w="768" w:type="pct"/>
            <w:tcBorders>
              <w:top w:val="single" w:color="auto" w:sz="4" w:space="0"/>
              <w:left w:val="nil"/>
              <w:bottom w:val="single" w:color="auto" w:sz="4" w:space="0"/>
              <w:right w:val="single" w:color="auto" w:sz="4" w:space="0"/>
            </w:tcBorders>
            <w:shd w:val="clear" w:color="auto" w:fill="auto"/>
          </w:tcPr>
          <w:p>
            <w:pPr>
              <w:spacing w:line="252" w:lineRule="auto"/>
              <w:jc w:val="left"/>
              <w:rPr>
                <w:rFonts w:hint="eastAsia" w:ascii="仿宋" w:hAnsi="仿宋" w:eastAsia="仿宋" w:cs="仿宋"/>
                <w:bCs/>
                <w:color w:val="000000"/>
                <w:kern w:val="0"/>
                <w:sz w:val="24"/>
                <w:szCs w:val="24"/>
              </w:rPr>
            </w:pPr>
            <w:r>
              <w:rPr>
                <w:rFonts w:hint="eastAsia" w:ascii="仿宋" w:hAnsi="仿宋" w:eastAsia="仿宋" w:cs="仿宋"/>
                <w:kern w:val="0"/>
                <w:sz w:val="24"/>
                <w:szCs w:val="24"/>
              </w:rPr>
              <w:t>中国输血杂志</w:t>
            </w:r>
          </w:p>
        </w:tc>
        <w:tc>
          <w:tcPr>
            <w:tcW w:w="68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rPr>
              <w:t>无</w:t>
            </w:r>
          </w:p>
        </w:tc>
        <w:tc>
          <w:tcPr>
            <w:tcW w:w="643" w:type="pct"/>
            <w:tcBorders>
              <w:top w:val="single" w:color="auto" w:sz="4" w:space="0"/>
              <w:left w:val="nil"/>
              <w:bottom w:val="single" w:color="auto" w:sz="4" w:space="0"/>
              <w:right w:val="single" w:color="auto" w:sz="4" w:space="0"/>
            </w:tcBorders>
            <w:shd w:val="clear" w:color="auto" w:fill="auto"/>
          </w:tcPr>
          <w:p>
            <w:pPr>
              <w:spacing w:line="252" w:lineRule="auto"/>
              <w:jc w:val="center"/>
              <w:rPr>
                <w:rFonts w:hint="eastAsia" w:ascii="仿宋" w:hAnsi="仿宋" w:eastAsia="仿宋" w:cs="仿宋"/>
                <w:bCs/>
                <w:color w:val="000000"/>
                <w:kern w:val="0"/>
                <w:sz w:val="24"/>
                <w:szCs w:val="24"/>
              </w:rPr>
            </w:pPr>
            <w:r>
              <w:rPr>
                <w:rFonts w:hint="eastAsia" w:ascii="仿宋" w:hAnsi="仿宋" w:eastAsia="仿宋" w:cs="仿宋"/>
                <w:bCs/>
                <w:color w:val="000000"/>
                <w:kern w:val="2"/>
                <w:sz w:val="24"/>
                <w:szCs w:val="24"/>
              </w:rPr>
              <w:t>无</w:t>
            </w:r>
          </w:p>
        </w:tc>
      </w:tr>
    </w:tbl>
    <w:p>
      <w:pPr>
        <w:numPr>
          <w:ilvl w:val="0"/>
          <w:numId w:val="2"/>
        </w:numPr>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项目简介</w:t>
      </w:r>
    </w:p>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血液是重要的医疗物资和战略资源，输血的安全有效是医疗急救和战略保障的重要前提。长期以来，传统的输血治疗技术存在病原体传播风险、免疫性风险及缺乏循证医学证据的输血等局限性，治疗手段有限且不良反应发生率高，影响到临床输血的安全和有效。本项目开展1）输血治疗安全性保障技术研究，建立新发突发病原体血液筛查经济效益模型研究，研发新型非去除性光敏剂光动力血液病原体灭活技术和产品；2）提高输血有效性新技术研究，建立红细胞冻干保存技术和系统建立输血治疗禁忌、指征与干预技术；3）研制恢复期血浆防控新发突发病原体理论和技术，包括研究感染者恢复期的病理学特征和献血适应性研究，制定供者选择和筛查标准，保证献浆者安全；研究恢复期血浆的有效成分及抗病毒机制，并相应建立恢复期血浆的质量控制要求，保证血浆质量；研究恢复期血浆的临床指征，制定恢复期血浆的临床应用指南，保证恢复期血浆疗法的安全和有效。</w:t>
      </w:r>
    </w:p>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本项目的研究成果从技术上整体了提高输血的安全性和有效性，已发表系列高水平论文，主论文被列入WOS核心库热点论文、高被引论文和F1000论文；牵头研制国家卫生行业标准，出版专著5部，国际学术会议大会报告10余次。已授权国内发明专利3项，国际发明专利1项，成果转化3项。</w:t>
      </w:r>
    </w:p>
    <w:p>
      <w:pPr>
        <w:spacing w:line="360" w:lineRule="auto"/>
        <w:ind w:firstLine="640" w:firstLineChars="200"/>
        <w:jc w:val="both"/>
        <w:rPr>
          <w:rFonts w:hint="eastAsia" w:ascii="黑体" w:hAnsi="黑体" w:eastAsia="黑体" w:cs="黑体"/>
          <w:bCs/>
          <w:color w:val="000000"/>
          <w:kern w:val="0"/>
          <w:sz w:val="32"/>
          <w:szCs w:val="32"/>
          <w:lang w:val="en-US" w:eastAsia="zh-CN"/>
        </w:rPr>
      </w:pPr>
      <w:r>
        <w:rPr>
          <w:rFonts w:hint="eastAsia" w:ascii="仿宋" w:hAnsi="仿宋" w:eastAsia="仿宋" w:cs="仿宋"/>
          <w:sz w:val="32"/>
          <w:szCs w:val="32"/>
        </w:rPr>
        <w:t>本项目部分研究成果得到JAMA述评的高度好评、得到世界卫生组织（WHO）、国际血浆治疗学会（PPTA）等国际学术组织和美国国家过敏和传染病研究所所长安东尼福奇教授等业内专家的认可，被纽约时报、人民日报等报道数百次。被国家卫生健康委和国务院联防联控机制采纳在全国推广应用，被美国FDA引用在美国紧急授权使用，被WHO引用以6种语言向全球推广。针对血液检测窗口期等技术瓶颈，研制的新型非去除性光敏剂光动力血液病原体灭活技术和产品等已经成功转化；针对我国长期以来的经验输血现状，研制基于临床循证医学证据的输血技术和策略，通过研制国家卫生行业标准向全国推广；针对COVID-19疫情，研制恢复期血浆防控新发突发病原体疫情技术和方案得到全球认可和好评等。本项目取得了良好的社会效益和经济效益。</w:t>
      </w:r>
    </w:p>
    <w:p>
      <w:pPr>
        <w:widowControl w:val="0"/>
        <w:numPr>
          <w:ilvl w:val="0"/>
          <w:numId w:val="2"/>
        </w:numPr>
        <w:ind w:left="0" w:leftChars="0" w:firstLine="0" w:firstLineChars="0"/>
        <w:jc w:val="both"/>
        <w:rPr>
          <w:rFonts w:hint="eastAsia"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主要完成人</w:t>
      </w:r>
    </w:p>
    <w:p>
      <w:pPr>
        <w:numPr>
          <w:ilvl w:val="0"/>
          <w:numId w:val="0"/>
        </w:numPr>
        <w:rPr>
          <w:rFonts w:hint="eastAsia" w:ascii="黑体" w:hAnsi="黑体" w:eastAsia="黑体" w:cs="黑体"/>
          <w:bCs/>
          <w:color w:val="000000"/>
          <w:kern w:val="0"/>
          <w:sz w:val="32"/>
          <w:szCs w:val="32"/>
          <w:lang w:val="en-US" w:eastAsia="zh-CN"/>
        </w:rPr>
      </w:pPr>
      <w:r>
        <w:rPr>
          <w:rFonts w:hint="eastAsia" w:ascii="仿宋" w:hAnsi="仿宋" w:eastAsia="仿宋" w:cs="仿宋"/>
          <w:color w:val="000000"/>
          <w:sz w:val="32"/>
          <w:szCs w:val="32"/>
        </w:rPr>
        <w:t>刘忠、李玲、梅恒、张伟、王珏、杨俊涛、佟训靓、任丽丽、吴晓熊、徐海霞、张学俊、刘鱼、邓锷、纪欣、田力</w:t>
      </w:r>
    </w:p>
    <w:p>
      <w:pPr>
        <w:widowControl w:val="0"/>
        <w:numPr>
          <w:numId w:val="0"/>
        </w:numPr>
        <w:jc w:val="both"/>
        <w:rPr>
          <w:rFonts w:hint="default" w:ascii="黑体" w:hAnsi="黑体" w:eastAsia="黑体" w:cs="黑体"/>
          <w:bCs/>
          <w:color w:val="000000"/>
          <w:kern w:val="0"/>
          <w:sz w:val="32"/>
          <w:szCs w:val="32"/>
          <w:lang w:val="en-US" w:eastAsia="zh-CN"/>
        </w:rPr>
      </w:pPr>
      <w:r>
        <w:rPr>
          <w:rFonts w:hint="eastAsia" w:ascii="黑体" w:hAnsi="黑体" w:eastAsia="黑体" w:cs="黑体"/>
          <w:bCs/>
          <w:color w:val="000000"/>
          <w:kern w:val="0"/>
          <w:sz w:val="32"/>
          <w:szCs w:val="32"/>
          <w:lang w:val="en-US" w:eastAsia="zh-CN"/>
        </w:rPr>
        <w:t>七、完成单位</w:t>
      </w:r>
    </w:p>
    <w:p>
      <w:pPr>
        <w:spacing w:line="360" w:lineRule="auto"/>
        <w:jc w:val="both"/>
        <w:rPr>
          <w:rFonts w:hint="eastAsia" w:ascii="仿宋" w:hAnsi="仿宋" w:eastAsia="仿宋" w:cs="仿宋"/>
          <w:sz w:val="32"/>
          <w:szCs w:val="32"/>
        </w:rPr>
      </w:pPr>
      <w:r>
        <w:rPr>
          <w:rFonts w:hint="eastAsia" w:ascii="仿宋" w:hAnsi="仿宋" w:eastAsia="仿宋" w:cs="仿宋"/>
          <w:color w:val="000000"/>
          <w:sz w:val="32"/>
          <w:szCs w:val="32"/>
        </w:rPr>
        <w:t>中国医学科学院输血研究所、西南交通大学附属医院/成都市第三人民医院、华中科技大学同济医学院附属协和医院、中国人民解放军海军军医大学第一附属医院、中国医学科学院基础医学研究所、北京医院、中国医学科学院病原生物学研究所</w:t>
      </w:r>
    </w:p>
    <w:p>
      <w:pPr>
        <w:jc w:val="center"/>
        <w:rPr>
          <w:rFonts w:ascii="宋体" w:hAnsi="宋体" w:eastAsia="宋体"/>
          <w:sz w:val="24"/>
          <w:szCs w:val="24"/>
        </w:rPr>
      </w:pPr>
    </w:p>
    <w:p>
      <w:pPr>
        <w:jc w:val="left"/>
        <w:rPr>
          <w:rFonts w:ascii="宋体" w:hAnsi="宋体" w:eastAsia="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Adobe 宋体 Std L">
    <w:panose1 w:val="02020300000000000000"/>
    <w:charset w:val="86"/>
    <w:family w:val="auto"/>
    <w:pitch w:val="default"/>
    <w:sig w:usb0="00000001" w:usb1="0A0F181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Tempus Sans ITC">
    <w:panose1 w:val="04020404030D07020202"/>
    <w:charset w:val="00"/>
    <w:family w:val="auto"/>
    <w:pitch w:val="default"/>
    <w:sig w:usb0="00000003"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panose1 w:val="03050402040407070305"/>
    <w:charset w:val="00"/>
    <w:family w:val="auto"/>
    <w:pitch w:val="default"/>
    <w:sig w:usb0="00000003" w:usb1="00000000" w:usb2="00000000" w:usb3="00000000" w:csb0="20000001" w:csb1="00000000"/>
  </w:font>
  <w:font w:name="Trebuchet MS">
    <w:panose1 w:val="020B0603020202020204"/>
    <w:charset w:val="00"/>
    <w:family w:val="auto"/>
    <w:pitch w:val="default"/>
    <w:sig w:usb0="00000687" w:usb1="00000000" w:usb2="00000000" w:usb3="00000000" w:csb0="2000009F"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B52DD"/>
    <w:multiLevelType w:val="multilevel"/>
    <w:tmpl w:val="67FB52DD"/>
    <w:lvl w:ilvl="0" w:tentative="0">
      <w:start w:val="1"/>
      <w:numFmt w:val="decimal"/>
      <w:lvlText w:val="%1."/>
      <w:lvlJc w:val="left"/>
      <w:pPr>
        <w:tabs>
          <w:tab w:val="left" w:pos="720"/>
        </w:tabs>
        <w:ind w:left="720" w:hanging="720"/>
      </w:pPr>
    </w:lvl>
    <w:lvl w:ilvl="1" w:tentative="0">
      <w:start w:val="1"/>
      <w:numFmt w:val="decimal"/>
      <w:pStyle w:val="3"/>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7ABDEE81"/>
    <w:multiLevelType w:val="singleLevel"/>
    <w:tmpl w:val="7ABDEE8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RkNDMxYTU3YWVmYjJkY2UzMTAwYTljZjExZmY1NDcifQ=="/>
  </w:docVars>
  <w:rsids>
    <w:rsidRoot w:val="002B39E0"/>
    <w:rsid w:val="0000056F"/>
    <w:rsid w:val="00062E1C"/>
    <w:rsid w:val="002B39E0"/>
    <w:rsid w:val="003022F5"/>
    <w:rsid w:val="00386688"/>
    <w:rsid w:val="0049572C"/>
    <w:rsid w:val="0055214F"/>
    <w:rsid w:val="00600C12"/>
    <w:rsid w:val="006639F0"/>
    <w:rsid w:val="007A7825"/>
    <w:rsid w:val="007E00B0"/>
    <w:rsid w:val="0088421F"/>
    <w:rsid w:val="00A343E2"/>
    <w:rsid w:val="00A93D17"/>
    <w:rsid w:val="00AD2B5D"/>
    <w:rsid w:val="00AF427C"/>
    <w:rsid w:val="00B563B8"/>
    <w:rsid w:val="00C02E50"/>
    <w:rsid w:val="00C348DF"/>
    <w:rsid w:val="00C37811"/>
    <w:rsid w:val="00CC52C4"/>
    <w:rsid w:val="00CE36F5"/>
    <w:rsid w:val="00D350BC"/>
    <w:rsid w:val="00D65DF6"/>
    <w:rsid w:val="00E5736D"/>
    <w:rsid w:val="00F336B7"/>
    <w:rsid w:val="61D72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widowControl/>
      <w:spacing w:line="360" w:lineRule="auto"/>
      <w:ind w:firstLine="200" w:firstLineChars="200"/>
      <w:jc w:val="left"/>
      <w:outlineLvl w:val="0"/>
    </w:pPr>
    <w:rPr>
      <w:rFonts w:ascii="Times New Roman" w:hAnsi="Times New Roman" w:eastAsia="宋体"/>
      <w:bCs/>
      <w:kern w:val="44"/>
      <w:sz w:val="24"/>
      <w:szCs w:val="44"/>
    </w:rPr>
  </w:style>
  <w:style w:type="paragraph" w:styleId="3">
    <w:name w:val="heading 2"/>
    <w:basedOn w:val="1"/>
    <w:next w:val="1"/>
    <w:link w:val="10"/>
    <w:unhideWhenUsed/>
    <w:qFormat/>
    <w:uiPriority w:val="9"/>
    <w:pPr>
      <w:keepNext/>
      <w:keepLines/>
      <w:widowControl/>
      <w:numPr>
        <w:ilvl w:val="1"/>
        <w:numId w:val="1"/>
      </w:numPr>
      <w:spacing w:line="400" w:lineRule="exact"/>
      <w:ind w:left="567" w:hanging="567"/>
      <w:outlineLvl w:val="1"/>
    </w:pPr>
    <w:rPr>
      <w:rFonts w:ascii="Times New Roman" w:hAnsi="Times New Roman" w:eastAsia="宋体" w:cstheme="majorBidi"/>
      <w:bCs/>
      <w:sz w:val="24"/>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tabs>
        <w:tab w:val="center" w:pos="4153"/>
        <w:tab w:val="right" w:pos="8306"/>
      </w:tabs>
      <w:snapToGrid w:val="0"/>
      <w:jc w:val="center"/>
    </w:pPr>
    <w:rPr>
      <w:sz w:val="18"/>
      <w:szCs w:val="18"/>
    </w:rPr>
  </w:style>
  <w:style w:type="table" w:styleId="7">
    <w:name w:val="Table Grid"/>
    <w:basedOn w:val="6"/>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标题 1 字符"/>
    <w:basedOn w:val="8"/>
    <w:link w:val="2"/>
    <w:qFormat/>
    <w:uiPriority w:val="9"/>
    <w:rPr>
      <w:rFonts w:ascii="Times New Roman" w:hAnsi="Times New Roman" w:eastAsia="宋体"/>
      <w:bCs/>
      <w:kern w:val="44"/>
      <w:sz w:val="24"/>
      <w:szCs w:val="44"/>
    </w:rPr>
  </w:style>
  <w:style w:type="character" w:customStyle="1" w:styleId="10">
    <w:name w:val="标题 2 字符"/>
    <w:basedOn w:val="8"/>
    <w:link w:val="3"/>
    <w:qFormat/>
    <w:uiPriority w:val="9"/>
    <w:rPr>
      <w:rFonts w:ascii="Times New Roman" w:hAnsi="Times New Roman" w:eastAsia="宋体" w:cstheme="majorBidi"/>
      <w:bCs/>
      <w:sz w:val="24"/>
      <w:szCs w:val="32"/>
    </w:rPr>
  </w:style>
  <w:style w:type="paragraph" w:customStyle="1" w:styleId="11">
    <w:name w:val="正文-论文"/>
    <w:basedOn w:val="1"/>
    <w:link w:val="12"/>
    <w:qFormat/>
    <w:uiPriority w:val="0"/>
    <w:rPr>
      <w:rFonts w:ascii="Times New Roman" w:hAnsi="Times New Roman" w:eastAsia="宋体"/>
      <w:sz w:val="24"/>
    </w:rPr>
  </w:style>
  <w:style w:type="character" w:customStyle="1" w:styleId="12">
    <w:name w:val="正文-论文 字符"/>
    <w:basedOn w:val="8"/>
    <w:link w:val="11"/>
    <w:qFormat/>
    <w:uiPriority w:val="0"/>
    <w:rPr>
      <w:rFonts w:ascii="Times New Roman" w:hAnsi="Times New Roman" w:eastAsia="宋体"/>
      <w:sz w:val="24"/>
    </w:rPr>
  </w:style>
  <w:style w:type="character" w:customStyle="1" w:styleId="13">
    <w:name w:val="页眉 字符"/>
    <w:basedOn w:val="8"/>
    <w:link w:val="5"/>
    <w:qFormat/>
    <w:uiPriority w:val="99"/>
    <w:rPr>
      <w:sz w:val="18"/>
      <w:szCs w:val="18"/>
    </w:rPr>
  </w:style>
  <w:style w:type="character" w:customStyle="1" w:styleId="14">
    <w:name w:val="页脚 字符"/>
    <w:basedOn w:val="8"/>
    <w:link w:val="4"/>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2162</Words>
  <Characters>3286</Characters>
  <Lines>25</Lines>
  <Paragraphs>7</Paragraphs>
  <TotalTime>1</TotalTime>
  <ScaleCrop>false</ScaleCrop>
  <LinksUpToDate>false</LinksUpToDate>
  <CharactersWithSpaces>3510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2023-06-20T01:44:00Z</dcterms:created>
  <dc:creator>用户1</dc:creator>
  <cp:lastModifiedBy>苏婕</cp:lastModifiedBy>
  <dcterms:modified xsi:type="dcterms:W3CDTF">2023-06-25T01:59:51Z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CD04AA8439AA4A1D89AD0A686FD306FD_12</vt:lpwstr>
  </property>
</Properties>
</file>