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基于机器学习的帕金森病智能筛查技术及应用</w:t>
      </w:r>
      <w:r>
        <w:rPr>
          <w:rFonts w:hint="eastAsia" w:ascii="方正小标宋简体" w:hAnsi="方正小标宋简体" w:eastAsia="方正小标宋简体" w:cs="方正小标宋简体"/>
          <w:sz w:val="44"/>
          <w:szCs w:val="44"/>
          <w:lang w:val="en-US" w:eastAsia="zh-CN"/>
        </w:rPr>
        <w:t>项目简介</w:t>
      </w:r>
    </w:p>
    <w:p>
      <w:pPr>
        <w:rPr>
          <w:rFonts w:hint="eastAsia" w:eastAsia="楷体"/>
          <w:b/>
          <w:bCs/>
          <w:sz w:val="24"/>
          <w:highlight w:val="yellow"/>
        </w:rPr>
      </w:pPr>
    </w:p>
    <w:p>
      <w:pPr>
        <w:rPr>
          <w:rFonts w:hint="eastAsia" w:eastAsia="楷体"/>
          <w:b/>
          <w:bCs/>
          <w:sz w:val="24"/>
          <w:highlight w:val="yellow"/>
        </w:rPr>
      </w:pPr>
    </w:p>
    <w:p>
      <w:pPr>
        <w:numPr>
          <w:ilvl w:val="0"/>
          <w:numId w:val="0"/>
        </w:numP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一、</w:t>
      </w:r>
      <w:r>
        <w:rPr>
          <w:rFonts w:hint="eastAsia" w:ascii="黑体" w:hAnsi="黑体" w:eastAsia="黑体" w:cs="黑体"/>
          <w:bCs/>
          <w:color w:val="000000"/>
          <w:kern w:val="0"/>
          <w:sz w:val="32"/>
          <w:szCs w:val="32"/>
        </w:rPr>
        <w:t>项目名称</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基于机器学习的帕金森病智能筛查技术及应用</w:t>
      </w:r>
    </w:p>
    <w:p>
      <w:pPr>
        <w:numPr>
          <w:ilvl w:val="0"/>
          <w:numId w:val="0"/>
        </w:numPr>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二、提名单位及提名意见</w:t>
      </w:r>
    </w:p>
    <w:p>
      <w:pPr>
        <w:rPr>
          <w:rFonts w:hint="eastAsia" w:ascii="楷体" w:hAnsi="楷体" w:eastAsia="楷体" w:cs="楷体"/>
          <w:bCs/>
          <w:color w:val="000000"/>
          <w:kern w:val="0"/>
          <w:sz w:val="32"/>
          <w:szCs w:val="32"/>
        </w:rPr>
      </w:pPr>
      <w:r>
        <w:rPr>
          <w:rFonts w:hint="eastAsia" w:ascii="楷体" w:hAnsi="楷体" w:eastAsia="楷体" w:cs="楷体"/>
          <w:bCs/>
          <w:color w:val="000000"/>
          <w:kern w:val="0"/>
          <w:sz w:val="32"/>
          <w:szCs w:val="32"/>
          <w:lang w:eastAsia="zh-CN"/>
        </w:rPr>
        <w:t>（</w:t>
      </w:r>
      <w:r>
        <w:rPr>
          <w:rFonts w:hint="eastAsia" w:ascii="楷体" w:hAnsi="楷体" w:eastAsia="楷体" w:cs="楷体"/>
          <w:bCs/>
          <w:color w:val="000000"/>
          <w:kern w:val="0"/>
          <w:sz w:val="32"/>
          <w:szCs w:val="32"/>
          <w:lang w:val="en-US" w:eastAsia="zh-CN"/>
        </w:rPr>
        <w:t>一</w:t>
      </w:r>
      <w:r>
        <w:rPr>
          <w:rFonts w:hint="eastAsia" w:ascii="楷体" w:hAnsi="楷体" w:eastAsia="楷体" w:cs="楷体"/>
          <w:bCs/>
          <w:color w:val="000000"/>
          <w:kern w:val="0"/>
          <w:sz w:val="32"/>
          <w:szCs w:val="32"/>
          <w:lang w:eastAsia="zh-CN"/>
        </w:rPr>
        <w:t>）</w:t>
      </w:r>
      <w:r>
        <w:rPr>
          <w:rFonts w:hint="eastAsia" w:ascii="楷体" w:hAnsi="楷体" w:eastAsia="楷体" w:cs="楷体"/>
          <w:bCs/>
          <w:color w:val="000000"/>
          <w:kern w:val="0"/>
          <w:sz w:val="32"/>
          <w:szCs w:val="32"/>
        </w:rPr>
        <w:t>提名单位</w:t>
      </w:r>
    </w:p>
    <w:p>
      <w:pPr>
        <w:rPr>
          <w:rFonts w:hint="eastAsia" w:ascii="仿宋" w:hAnsi="仿宋" w:eastAsia="仿宋" w:cs="仿宋"/>
          <w:bCs/>
          <w:color w:val="000000"/>
          <w:kern w:val="0"/>
          <w:sz w:val="32"/>
          <w:szCs w:val="32"/>
          <w:lang w:val="en-US" w:eastAsia="zh-CN"/>
        </w:rPr>
      </w:pPr>
      <w:r>
        <w:rPr>
          <w:rFonts w:hint="eastAsia" w:ascii="仿宋" w:hAnsi="仿宋" w:eastAsia="仿宋" w:cs="仿宋"/>
          <w:bCs/>
          <w:color w:val="000000"/>
          <w:kern w:val="0"/>
          <w:sz w:val="32"/>
          <w:szCs w:val="32"/>
          <w:lang w:val="en-US" w:eastAsia="zh-CN"/>
        </w:rPr>
        <w:t>成都市科技局</w:t>
      </w:r>
    </w:p>
    <w:p>
      <w:pPr>
        <w:numPr>
          <w:ilvl w:val="0"/>
          <w:numId w:val="0"/>
        </w:numPr>
        <w:rPr>
          <w:rFonts w:hint="eastAsia" w:ascii="楷体" w:hAnsi="楷体" w:eastAsia="楷体" w:cs="楷体"/>
          <w:bCs/>
          <w:color w:val="000000"/>
          <w:kern w:val="0"/>
          <w:sz w:val="32"/>
          <w:szCs w:val="32"/>
        </w:rPr>
      </w:pPr>
      <w:r>
        <w:rPr>
          <w:rFonts w:hint="eastAsia" w:ascii="楷体" w:hAnsi="楷体" w:eastAsia="楷体" w:cs="楷体"/>
          <w:bCs/>
          <w:color w:val="000000"/>
          <w:kern w:val="0"/>
          <w:sz w:val="32"/>
          <w:szCs w:val="32"/>
          <w:lang w:eastAsia="zh-CN"/>
        </w:rPr>
        <w:t>（</w:t>
      </w:r>
      <w:r>
        <w:rPr>
          <w:rFonts w:hint="eastAsia" w:ascii="楷体" w:hAnsi="楷体" w:eastAsia="楷体" w:cs="楷体"/>
          <w:bCs/>
          <w:color w:val="000000"/>
          <w:kern w:val="0"/>
          <w:sz w:val="32"/>
          <w:szCs w:val="32"/>
          <w:lang w:val="en-US" w:eastAsia="zh-CN"/>
        </w:rPr>
        <w:t>二</w:t>
      </w:r>
      <w:r>
        <w:rPr>
          <w:rFonts w:hint="eastAsia" w:ascii="楷体" w:hAnsi="楷体" w:eastAsia="楷体" w:cs="楷体"/>
          <w:bCs/>
          <w:color w:val="000000"/>
          <w:kern w:val="0"/>
          <w:sz w:val="32"/>
          <w:szCs w:val="32"/>
          <w:lang w:eastAsia="zh-CN"/>
        </w:rPr>
        <w:t>）</w:t>
      </w:r>
      <w:r>
        <w:rPr>
          <w:rFonts w:hint="eastAsia" w:ascii="楷体" w:hAnsi="楷体" w:eastAsia="楷体" w:cs="楷体"/>
          <w:bCs/>
          <w:color w:val="000000"/>
          <w:kern w:val="0"/>
          <w:sz w:val="32"/>
          <w:szCs w:val="32"/>
        </w:rPr>
        <w:t>提名意见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帕金森病是一种常见的神经系统退行性疾病，其主要症状包括肢体僵硬、震颤和运动迟缓等，严重影响患者的生活质量。针对当前帕金森病早期诊断面临的问题，围绕国家智慧医疗领域的重大需求，西南交通大学联合中国人民解放军西部战区总医院、成都市第三人民医院、北京航空航天大学与广州欧蒙未一医学检验实验室有限公司，在多个国家科技计划的长期支持下，借鉴多视图学习、聚类技术、卷积神经网络等理论与方法的现有研究成果，针对数据特征不够丰富等问题，创建了基于多视图学习的半监督聚类集成框架与方法体系，提出了新的基于图像数据和文本数据的预测模型用于辅助诊断帕金森病。项目致力于研究帕金森病早期预警关键技术，研究工作涉及帕金森病相关多模态医学数据库构建、智能诊断临床前期及早期帕金森病模型研发、帕金森病动态分析等方面。</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该项目一直坚持践行“产、学、研”协同创新模式，组成联合攻关团队，实现了理论研究、技术创新与产业应用的紧密衔接。代表成果在四川、北京、天津、广东等80余家医院得到了广泛应用，核心技术实现了规模化推广，推动了相关领域的技术进步，取得了显著的经济和社会效益。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提名该项目为2023年度四川省科学技术进步奖。</w:t>
      </w:r>
    </w:p>
    <w:p>
      <w:pPr>
        <w:numPr>
          <w:ilvl w:val="0"/>
          <w:numId w:val="1"/>
        </w:numP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主要知识产权和标准规范等目录</w:t>
      </w:r>
    </w:p>
    <w:tbl>
      <w:tblPr>
        <w:tblStyle w:val="9"/>
        <w:tblW w:w="96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07"/>
        <w:gridCol w:w="852"/>
        <w:gridCol w:w="924"/>
        <w:gridCol w:w="961"/>
        <w:gridCol w:w="1044"/>
        <w:gridCol w:w="1428"/>
        <w:gridCol w:w="912"/>
        <w:gridCol w:w="10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pStyle w:val="5"/>
              <w:spacing w:line="39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知识产权（标准）类别</w:t>
            </w:r>
          </w:p>
        </w:tc>
        <w:tc>
          <w:tcPr>
            <w:tcW w:w="1507" w:type="dxa"/>
            <w:vAlign w:val="center"/>
          </w:tcPr>
          <w:p>
            <w:pPr>
              <w:pStyle w:val="5"/>
              <w:spacing w:line="39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知识产权（标准）具体名称</w:t>
            </w:r>
          </w:p>
        </w:tc>
        <w:tc>
          <w:tcPr>
            <w:tcW w:w="852" w:type="dxa"/>
            <w:vAlign w:val="center"/>
          </w:tcPr>
          <w:p>
            <w:pPr>
              <w:pStyle w:val="5"/>
              <w:spacing w:line="39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国家</w:t>
            </w:r>
          </w:p>
          <w:p>
            <w:pPr>
              <w:pStyle w:val="5"/>
              <w:spacing w:line="39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（地区）</w:t>
            </w:r>
          </w:p>
        </w:tc>
        <w:tc>
          <w:tcPr>
            <w:tcW w:w="924" w:type="dxa"/>
            <w:vAlign w:val="center"/>
          </w:tcPr>
          <w:p>
            <w:pPr>
              <w:pStyle w:val="5"/>
              <w:spacing w:line="39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授权号（标准编号）</w:t>
            </w:r>
          </w:p>
        </w:tc>
        <w:tc>
          <w:tcPr>
            <w:tcW w:w="961" w:type="dxa"/>
            <w:vAlign w:val="center"/>
          </w:tcPr>
          <w:p>
            <w:pPr>
              <w:pStyle w:val="5"/>
              <w:spacing w:line="39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授权（标准发布）日期</w:t>
            </w:r>
          </w:p>
        </w:tc>
        <w:tc>
          <w:tcPr>
            <w:tcW w:w="1044" w:type="dxa"/>
            <w:vAlign w:val="center"/>
          </w:tcPr>
          <w:p>
            <w:pPr>
              <w:pStyle w:val="5"/>
              <w:spacing w:line="320" w:lineRule="exact"/>
              <w:ind w:firstLine="0" w:firstLineChars="0"/>
              <w:jc w:val="center"/>
              <w:rPr>
                <w:rFonts w:hint="eastAsia" w:ascii="楷体" w:hAnsi="楷体" w:eastAsia="楷体" w:cs="楷体"/>
                <w:color w:val="000000"/>
                <w:kern w:val="2"/>
                <w:sz w:val="18"/>
                <w:szCs w:val="18"/>
                <w:lang w:eastAsia="zh-CN"/>
              </w:rPr>
            </w:pPr>
            <w:r>
              <w:rPr>
                <w:rFonts w:hint="eastAsia" w:ascii="楷体" w:hAnsi="楷体" w:eastAsia="楷体" w:cs="楷体"/>
                <w:color w:val="000000"/>
                <w:kern w:val="2"/>
                <w:sz w:val="18"/>
                <w:szCs w:val="18"/>
              </w:rPr>
              <w:t>证书编号</w:t>
            </w:r>
          </w:p>
          <w:p>
            <w:pPr>
              <w:pStyle w:val="5"/>
              <w:spacing w:line="32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（标准批准发布部门）</w:t>
            </w:r>
          </w:p>
        </w:tc>
        <w:tc>
          <w:tcPr>
            <w:tcW w:w="1428" w:type="dxa"/>
            <w:vAlign w:val="center"/>
          </w:tcPr>
          <w:p>
            <w:pPr>
              <w:pStyle w:val="5"/>
              <w:spacing w:line="32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权利人（标准起草单位）</w:t>
            </w:r>
          </w:p>
        </w:tc>
        <w:tc>
          <w:tcPr>
            <w:tcW w:w="912" w:type="dxa"/>
            <w:vAlign w:val="center"/>
          </w:tcPr>
          <w:p>
            <w:pPr>
              <w:pStyle w:val="5"/>
              <w:spacing w:line="32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发明人（标准起草人）</w:t>
            </w:r>
          </w:p>
        </w:tc>
        <w:tc>
          <w:tcPr>
            <w:tcW w:w="1036" w:type="dxa"/>
            <w:vAlign w:val="center"/>
          </w:tcPr>
          <w:p>
            <w:pPr>
              <w:pStyle w:val="5"/>
              <w:spacing w:line="390" w:lineRule="exact"/>
              <w:ind w:firstLine="0" w:firstLineChars="0"/>
              <w:jc w:val="center"/>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widowControl/>
              <w:jc w:val="left"/>
              <w:rPr>
                <w:rFonts w:ascii="楷体" w:hAnsi="楷体" w:eastAsia="楷体" w:cs="楷体"/>
                <w:color w:val="000000"/>
                <w:sz w:val="18"/>
                <w:szCs w:val="18"/>
              </w:rPr>
            </w:pPr>
            <w:r>
              <w:rPr>
                <w:rFonts w:hint="eastAsia" w:ascii="楷体" w:hAnsi="楷体" w:eastAsia="楷体" w:cs="楷体"/>
                <w:color w:val="000000"/>
                <w:sz w:val="18"/>
                <w:szCs w:val="18"/>
              </w:rPr>
              <w:t>一种MRI图像的帕金森病分类及标注病灶区域的方法</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CN113269774A </w:t>
            </w: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2021-08-17</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ZL202110643153.8 </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西南交通大学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张晓博、张哲浩、 李伟</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一种用于合成医学图像的生成对抗网络</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CN113012045A</w:t>
            </w:r>
          </w:p>
          <w:p>
            <w:pPr>
              <w:pStyle w:val="5"/>
              <w:spacing w:line="390" w:lineRule="exact"/>
              <w:ind w:firstLine="0" w:firstLineChars="0"/>
              <w:jc w:val="left"/>
              <w:rPr>
                <w:rFonts w:ascii="楷体" w:hAnsi="楷体" w:eastAsia="楷体" w:cs="楷体"/>
                <w:color w:val="000000"/>
                <w:kern w:val="2"/>
                <w:sz w:val="18"/>
                <w:szCs w:val="18"/>
              </w:rPr>
            </w:pP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2021-06-22</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ZL202110203141.3</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西南交通大学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张晓博 张哲浩</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pStyle w:val="5"/>
              <w:spacing w:line="390" w:lineRule="exact"/>
              <w:ind w:firstLine="0" w:firstLineChars="0"/>
              <w:jc w:val="left"/>
              <w:rPr>
                <w:rFonts w:ascii="楷体" w:hAnsi="楷体" w:eastAsia="楷体" w:cs="楷体"/>
                <w:sz w:val="18"/>
                <w:szCs w:val="18"/>
              </w:rPr>
            </w:pPr>
            <w:r>
              <w:rPr>
                <w:rFonts w:hint="eastAsia" w:ascii="楷体" w:hAnsi="楷体" w:eastAsia="楷体" w:cs="楷体"/>
                <w:color w:val="000000"/>
                <w:kern w:val="2"/>
                <w:sz w:val="18"/>
                <w:szCs w:val="18"/>
              </w:rPr>
              <w:t>基于神经网络的知识图谱补全方法</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CN110347847B </w:t>
            </w:r>
          </w:p>
          <w:p>
            <w:pPr>
              <w:pStyle w:val="5"/>
              <w:spacing w:line="390" w:lineRule="exact"/>
              <w:ind w:firstLine="0" w:firstLineChars="0"/>
              <w:jc w:val="left"/>
              <w:rPr>
                <w:rFonts w:ascii="楷体" w:hAnsi="楷体" w:eastAsia="楷体" w:cs="楷体"/>
                <w:color w:val="000000"/>
                <w:kern w:val="2"/>
                <w:sz w:val="18"/>
                <w:szCs w:val="18"/>
              </w:rPr>
            </w:pP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2021-09-28 </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ZL201910663022.9</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西南交通大学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滕飞、钟文、马征</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pStyle w:val="5"/>
              <w:spacing w:line="390" w:lineRule="exact"/>
              <w:ind w:firstLine="0" w:firstLineChars="0"/>
              <w:jc w:val="left"/>
              <w:rPr>
                <w:rFonts w:ascii="楷体" w:hAnsi="楷体" w:eastAsia="楷体" w:cs="楷体"/>
                <w:sz w:val="18"/>
                <w:szCs w:val="18"/>
              </w:rPr>
            </w:pPr>
            <w:r>
              <w:rPr>
                <w:rFonts w:hint="eastAsia" w:ascii="楷体" w:hAnsi="楷体" w:eastAsia="楷体" w:cs="楷体"/>
                <w:color w:val="000000"/>
                <w:kern w:val="2"/>
                <w:sz w:val="18"/>
                <w:szCs w:val="18"/>
              </w:rPr>
              <w:t>基于数据并行的时间序列分析方法与系统</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CN107644063B </w:t>
            </w:r>
          </w:p>
          <w:p>
            <w:pPr>
              <w:pStyle w:val="5"/>
              <w:spacing w:line="390" w:lineRule="exact"/>
              <w:ind w:firstLine="0" w:firstLineChars="0"/>
              <w:jc w:val="left"/>
              <w:rPr>
                <w:rFonts w:ascii="楷体" w:hAnsi="楷体" w:eastAsia="楷体" w:cs="楷体"/>
                <w:color w:val="000000"/>
                <w:kern w:val="2"/>
                <w:sz w:val="18"/>
                <w:szCs w:val="18"/>
              </w:rPr>
            </w:pP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2021-04-20 </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ZL201710771475.4</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西南交通大学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滕飞、黄齐川、李勇、李天瑞</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pStyle w:val="5"/>
              <w:spacing w:line="390" w:lineRule="exact"/>
              <w:ind w:firstLine="0" w:firstLineChars="0"/>
              <w:jc w:val="left"/>
              <w:rPr>
                <w:rFonts w:ascii="楷体" w:hAnsi="楷体" w:eastAsia="楷体" w:cs="楷体"/>
                <w:sz w:val="18"/>
                <w:szCs w:val="18"/>
              </w:rPr>
            </w:pPr>
            <w:r>
              <w:rPr>
                <w:rFonts w:hint="eastAsia" w:ascii="楷体" w:hAnsi="楷体" w:eastAsia="楷体" w:cs="楷体"/>
                <w:color w:val="000000"/>
                <w:kern w:val="2"/>
                <w:sz w:val="18"/>
                <w:szCs w:val="18"/>
              </w:rPr>
              <w:t>一种面向医学文本的实体关系联合抽取方法</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widowControl/>
              <w:jc w:val="left"/>
              <w:rPr>
                <w:rFonts w:ascii="楷体" w:hAnsi="楷体" w:eastAsia="楷体" w:cs="楷体"/>
                <w:color w:val="000000"/>
                <w:sz w:val="18"/>
                <w:szCs w:val="18"/>
              </w:rPr>
            </w:pPr>
            <w:r>
              <w:rPr>
                <w:rFonts w:hint="eastAsia" w:ascii="楷体" w:hAnsi="楷体" w:eastAsia="楷体" w:cs="楷体"/>
                <w:color w:val="000000"/>
                <w:sz w:val="18"/>
                <w:szCs w:val="18"/>
              </w:rPr>
              <w:t xml:space="preserve">CN111368528A </w:t>
            </w:r>
          </w:p>
          <w:p>
            <w:pPr>
              <w:pStyle w:val="5"/>
              <w:spacing w:line="390" w:lineRule="exact"/>
              <w:ind w:firstLine="0" w:firstLineChars="0"/>
              <w:jc w:val="left"/>
              <w:rPr>
                <w:rFonts w:ascii="楷体" w:hAnsi="楷体" w:eastAsia="楷体" w:cs="楷体"/>
                <w:color w:val="000000"/>
                <w:kern w:val="2"/>
                <w:sz w:val="18"/>
                <w:szCs w:val="18"/>
              </w:rPr>
            </w:pP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2020-07-03</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ZL202010156316.5</w:t>
            </w:r>
          </w:p>
          <w:p>
            <w:pPr>
              <w:pStyle w:val="5"/>
              <w:spacing w:line="390" w:lineRule="exact"/>
              <w:ind w:firstLine="0" w:firstLineChars="0"/>
              <w:jc w:val="left"/>
              <w:rPr>
                <w:rFonts w:ascii="楷体" w:hAnsi="楷体" w:eastAsia="楷体" w:cs="楷体"/>
                <w:color w:val="000000"/>
                <w:kern w:val="2"/>
                <w:sz w:val="18"/>
                <w:szCs w:val="18"/>
              </w:rPr>
            </w:pP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西南交通大学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滕飞、马敏博、李双庆、姚远、曾嵛、刘赟</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实用新型专利</w:t>
            </w:r>
          </w:p>
        </w:tc>
        <w:tc>
          <w:tcPr>
            <w:tcW w:w="1507" w:type="dxa"/>
          </w:tcPr>
          <w:p>
            <w:pPr>
              <w:pStyle w:val="5"/>
              <w:spacing w:line="390" w:lineRule="exact"/>
              <w:ind w:firstLine="0" w:firstLineChars="0"/>
              <w:jc w:val="left"/>
              <w:rPr>
                <w:rFonts w:ascii="楷体" w:hAnsi="楷体" w:eastAsia="楷体" w:cs="楷体"/>
                <w:sz w:val="18"/>
                <w:szCs w:val="18"/>
              </w:rPr>
            </w:pPr>
            <w:r>
              <w:rPr>
                <w:rFonts w:hint="eastAsia" w:ascii="楷体" w:hAnsi="楷体" w:eastAsia="楷体" w:cs="楷体"/>
                <w:color w:val="000000"/>
                <w:kern w:val="2"/>
                <w:sz w:val="18"/>
                <w:szCs w:val="18"/>
              </w:rPr>
              <w:t>一种神经内科用叩诊锤</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CN212438667U</w:t>
            </w: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2021-02-02</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ZL202020432831.7</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中国人民解放军西部战区总医院</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卢志杰、卢植歆</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实用新型专利</w:t>
            </w:r>
          </w:p>
        </w:tc>
        <w:tc>
          <w:tcPr>
            <w:tcW w:w="1507" w:type="dxa"/>
          </w:tcPr>
          <w:p>
            <w:pPr>
              <w:pStyle w:val="5"/>
              <w:spacing w:line="390" w:lineRule="exact"/>
              <w:ind w:firstLine="0" w:firstLineChars="0"/>
              <w:jc w:val="left"/>
              <w:rPr>
                <w:rFonts w:ascii="楷体" w:hAnsi="楷体" w:eastAsia="楷体" w:cs="楷体"/>
                <w:sz w:val="18"/>
                <w:szCs w:val="18"/>
              </w:rPr>
            </w:pPr>
            <w:r>
              <w:rPr>
                <w:rFonts w:hint="eastAsia" w:ascii="楷体" w:hAnsi="楷体" w:eastAsia="楷体" w:cs="楷体"/>
                <w:color w:val="000000"/>
                <w:kern w:val="2"/>
                <w:sz w:val="18"/>
                <w:szCs w:val="18"/>
              </w:rPr>
              <w:t>一种血液透析机行血浆置换用的血浆收集装置</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CN212327076U </w:t>
            </w:r>
          </w:p>
          <w:p>
            <w:pPr>
              <w:pStyle w:val="5"/>
              <w:spacing w:line="390" w:lineRule="exact"/>
              <w:ind w:firstLine="0" w:firstLineChars="0"/>
              <w:jc w:val="left"/>
              <w:rPr>
                <w:rFonts w:ascii="楷体" w:hAnsi="楷体" w:eastAsia="楷体" w:cs="楷体"/>
                <w:color w:val="000000"/>
                <w:kern w:val="2"/>
                <w:sz w:val="18"/>
                <w:szCs w:val="18"/>
              </w:rPr>
            </w:pP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2021-01-12 </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ZL202021278596.9 </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中国人民解放军西部战区总医院</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陈琳、彭芳、尹泽刚</w:t>
            </w:r>
          </w:p>
          <w:p>
            <w:pPr>
              <w:pStyle w:val="5"/>
              <w:spacing w:line="390" w:lineRule="exact"/>
              <w:ind w:firstLine="0" w:firstLineChars="0"/>
              <w:jc w:val="left"/>
              <w:rPr>
                <w:rFonts w:ascii="楷体" w:hAnsi="楷体" w:eastAsia="楷体" w:cs="楷体"/>
                <w:color w:val="000000"/>
                <w:kern w:val="2"/>
                <w:sz w:val="18"/>
                <w:szCs w:val="18"/>
              </w:rPr>
            </w:pP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rPr>
                <w:rFonts w:ascii="楷体" w:hAnsi="楷体" w:eastAsia="楷体" w:cs="楷体"/>
                <w:color w:val="000000"/>
                <w:sz w:val="18"/>
                <w:szCs w:val="18"/>
              </w:rPr>
            </w:pPr>
            <w:r>
              <w:rPr>
                <w:rFonts w:hint="eastAsia" w:ascii="楷体" w:hAnsi="楷体" w:eastAsia="楷体" w:cs="楷体"/>
                <w:sz w:val="18"/>
                <w:szCs w:val="18"/>
              </w:rPr>
              <w:t>基于切比雪夫多项式展开的时变神经动力学系统辨识方法</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CN105005197A</w:t>
            </w: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2015-10-28</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ZL201510289205.0</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北京航空航天大学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李阳、徐颂、王旭东</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一种基于多小波基函数和超正交前向回归的时频分析方法</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CN109598175A</w:t>
            </w:r>
          </w:p>
          <w:p>
            <w:pPr>
              <w:pStyle w:val="5"/>
              <w:spacing w:line="390" w:lineRule="exact"/>
              <w:ind w:firstLine="0" w:firstLineChars="0"/>
              <w:jc w:val="left"/>
              <w:rPr>
                <w:rFonts w:ascii="楷体" w:hAnsi="楷体" w:eastAsia="楷体" w:cs="楷体"/>
                <w:color w:val="000000"/>
                <w:kern w:val="2"/>
                <w:sz w:val="18"/>
                <w:szCs w:val="18"/>
              </w:rPr>
            </w:pP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2019-04-09</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201710914104.7</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北京航空航天大学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李阳、崔渭、刚、王丽娜、 徐颂</w:t>
            </w:r>
          </w:p>
          <w:p>
            <w:pPr>
              <w:pStyle w:val="5"/>
              <w:spacing w:line="390" w:lineRule="exact"/>
              <w:ind w:firstLine="0" w:firstLineChars="0"/>
              <w:jc w:val="left"/>
              <w:rPr>
                <w:rFonts w:ascii="楷体" w:hAnsi="楷体" w:eastAsia="楷体" w:cs="楷体"/>
                <w:color w:val="000000"/>
                <w:kern w:val="2"/>
                <w:sz w:val="18"/>
                <w:szCs w:val="18"/>
              </w:rPr>
            </w:pP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sz w:val="18"/>
                <w:szCs w:val="18"/>
              </w:rPr>
              <w:t>一种基于多小波基函数展开的锋电位时变格兰杰因果准确辨识方法</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CN108509933A</w:t>
            </w: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2018-09-07</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ZL201810324132.8</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北京航空航天大学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李阳、郝大鑫、章敬波</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一种基于密集连接卷积神经网络的人体运动状态判别方法</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CN110334573 A</w:t>
            </w:r>
          </w:p>
          <w:p>
            <w:pPr>
              <w:pStyle w:val="5"/>
              <w:spacing w:line="390" w:lineRule="exact"/>
              <w:ind w:firstLine="0" w:firstLineChars="0"/>
              <w:jc w:val="left"/>
              <w:rPr>
                <w:rFonts w:ascii="楷体" w:hAnsi="楷体" w:eastAsia="楷体" w:cs="楷体"/>
                <w:color w:val="000000"/>
                <w:kern w:val="2"/>
                <w:sz w:val="18"/>
                <w:szCs w:val="18"/>
              </w:rPr>
            </w:pP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2019-10-15</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ZL201910281057.6 </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北京航空航天大学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张斌、刘宇、李阳</w:t>
            </w:r>
          </w:p>
          <w:p>
            <w:pPr>
              <w:pStyle w:val="5"/>
              <w:spacing w:line="390" w:lineRule="exact"/>
              <w:ind w:firstLine="0" w:firstLineChars="0"/>
              <w:jc w:val="left"/>
              <w:rPr>
                <w:rFonts w:ascii="楷体" w:hAnsi="楷体" w:eastAsia="楷体" w:cs="楷体"/>
                <w:color w:val="000000"/>
                <w:kern w:val="2"/>
                <w:sz w:val="18"/>
                <w:szCs w:val="18"/>
              </w:rPr>
            </w:pP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发明专利</w:t>
            </w:r>
          </w:p>
        </w:tc>
        <w:tc>
          <w:tcPr>
            <w:tcW w:w="1507"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一种密集深度卷积神经网络的脑电信号快速识别方法</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CN110069958A </w:t>
            </w:r>
          </w:p>
          <w:p>
            <w:pPr>
              <w:pStyle w:val="5"/>
              <w:spacing w:line="390" w:lineRule="exact"/>
              <w:ind w:firstLine="0" w:firstLineChars="0"/>
              <w:jc w:val="left"/>
              <w:rPr>
                <w:rFonts w:ascii="楷体" w:hAnsi="楷体" w:eastAsia="楷体" w:cs="楷体"/>
                <w:color w:val="000000"/>
                <w:kern w:val="2"/>
                <w:sz w:val="18"/>
                <w:szCs w:val="18"/>
              </w:rPr>
            </w:pP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2019-07-30</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 xml:space="preserve">ZL201810057413.1 </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北京航空航天大学</w:t>
            </w: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李阳、张先锐、雷梦颖</w:t>
            </w:r>
          </w:p>
          <w:p>
            <w:pPr>
              <w:pStyle w:val="5"/>
              <w:spacing w:line="390" w:lineRule="exact"/>
              <w:ind w:firstLine="0" w:firstLineChars="0"/>
              <w:jc w:val="left"/>
              <w:rPr>
                <w:rFonts w:ascii="楷体" w:hAnsi="楷体" w:eastAsia="楷体" w:cs="楷体"/>
                <w:color w:val="000000"/>
                <w:kern w:val="2"/>
                <w:sz w:val="18"/>
                <w:szCs w:val="18"/>
              </w:rPr>
            </w:pP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0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计算机软件著作权</w:t>
            </w:r>
          </w:p>
        </w:tc>
        <w:tc>
          <w:tcPr>
            <w:tcW w:w="1507"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帕金森病智能诊断信息系统</w:t>
            </w:r>
          </w:p>
        </w:tc>
        <w:tc>
          <w:tcPr>
            <w:tcW w:w="85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中国</w:t>
            </w:r>
          </w:p>
        </w:tc>
        <w:tc>
          <w:tcPr>
            <w:tcW w:w="92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2021SR1149839</w:t>
            </w:r>
          </w:p>
        </w:tc>
        <w:tc>
          <w:tcPr>
            <w:tcW w:w="961"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2021-08-04</w:t>
            </w:r>
          </w:p>
        </w:tc>
        <w:tc>
          <w:tcPr>
            <w:tcW w:w="1044"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7872465</w:t>
            </w:r>
          </w:p>
        </w:tc>
        <w:tc>
          <w:tcPr>
            <w:tcW w:w="1428" w:type="dxa"/>
          </w:tcPr>
          <w:p>
            <w:pPr>
              <w:pStyle w:val="5"/>
              <w:spacing w:line="390" w:lineRule="exact"/>
              <w:ind w:firstLine="0" w:firstLineChars="0"/>
              <w:jc w:val="left"/>
              <w:rPr>
                <w:rFonts w:ascii="楷体" w:hAnsi="楷体" w:eastAsia="楷体" w:cs="楷体"/>
                <w:color w:val="000000"/>
                <w:kern w:val="2"/>
                <w:sz w:val="18"/>
                <w:szCs w:val="18"/>
              </w:rPr>
            </w:pPr>
          </w:p>
        </w:tc>
        <w:tc>
          <w:tcPr>
            <w:tcW w:w="912"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张晓博</w:t>
            </w:r>
          </w:p>
        </w:tc>
        <w:tc>
          <w:tcPr>
            <w:tcW w:w="1036" w:type="dxa"/>
          </w:tcPr>
          <w:p>
            <w:pPr>
              <w:pStyle w:val="5"/>
              <w:spacing w:line="390" w:lineRule="exact"/>
              <w:ind w:firstLine="0" w:firstLineChars="0"/>
              <w:jc w:val="left"/>
              <w:rPr>
                <w:rFonts w:ascii="楷体" w:hAnsi="楷体" w:eastAsia="楷体" w:cs="楷体"/>
                <w:color w:val="000000"/>
                <w:kern w:val="2"/>
                <w:sz w:val="18"/>
                <w:szCs w:val="18"/>
              </w:rPr>
            </w:pPr>
            <w:r>
              <w:rPr>
                <w:rFonts w:hint="eastAsia" w:ascii="楷体" w:hAnsi="楷体" w:eastAsia="楷体" w:cs="楷体"/>
                <w:color w:val="000000"/>
                <w:kern w:val="2"/>
                <w:sz w:val="18"/>
                <w:szCs w:val="18"/>
              </w:rPr>
              <w:t>有效</w:t>
            </w:r>
          </w:p>
        </w:tc>
      </w:tr>
    </w:tbl>
    <w:p>
      <w:pPr>
        <w:pStyle w:val="2"/>
        <w:numPr>
          <w:numId w:val="0"/>
        </w:numPr>
        <w:ind w:leftChars="400"/>
        <w:rPr>
          <w:rFonts w:hint="eastAsia"/>
        </w:rPr>
      </w:pPr>
    </w:p>
    <w:p>
      <w:pPr>
        <w:numPr>
          <w:ilvl w:val="0"/>
          <w:numId w:val="0"/>
        </w:numPr>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四、论文专著目录</w:t>
      </w:r>
    </w:p>
    <w:tbl>
      <w:tblPr>
        <w:tblStyle w:val="9"/>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653"/>
        <w:gridCol w:w="916"/>
        <w:gridCol w:w="897"/>
        <w:gridCol w:w="881"/>
        <w:gridCol w:w="957"/>
        <w:gridCol w:w="876"/>
        <w:gridCol w:w="556"/>
        <w:gridCol w:w="818"/>
        <w:gridCol w:w="7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14" w:type="dxa"/>
            <w:vAlign w:val="center"/>
          </w:tcPr>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序号</w:t>
            </w:r>
          </w:p>
        </w:tc>
        <w:tc>
          <w:tcPr>
            <w:tcW w:w="1653" w:type="dxa"/>
            <w:vAlign w:val="center"/>
          </w:tcPr>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论文（专著）</w:t>
            </w:r>
          </w:p>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名称/刊名</w:t>
            </w:r>
          </w:p>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/作者</w:t>
            </w:r>
          </w:p>
        </w:tc>
        <w:tc>
          <w:tcPr>
            <w:tcW w:w="916" w:type="dxa"/>
            <w:vAlign w:val="center"/>
          </w:tcPr>
          <w:p>
            <w:pPr>
              <w:pStyle w:val="5"/>
              <w:adjustRightInd w:val="0"/>
              <w:spacing w:line="28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年卷页码</w:t>
            </w:r>
          </w:p>
          <w:p>
            <w:pPr>
              <w:pStyle w:val="5"/>
              <w:adjustRightInd w:val="0"/>
              <w:spacing w:line="28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（xx年xx卷</w:t>
            </w:r>
          </w:p>
          <w:p>
            <w:pPr>
              <w:pStyle w:val="5"/>
              <w:adjustRightInd w:val="0"/>
              <w:spacing w:line="28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xx页）</w:t>
            </w:r>
          </w:p>
        </w:tc>
        <w:tc>
          <w:tcPr>
            <w:tcW w:w="897" w:type="dxa"/>
            <w:vAlign w:val="center"/>
          </w:tcPr>
          <w:p>
            <w:pPr>
              <w:pStyle w:val="5"/>
              <w:adjustRightInd w:val="0"/>
              <w:spacing w:line="28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发表时间（年月 日）</w:t>
            </w:r>
          </w:p>
        </w:tc>
        <w:tc>
          <w:tcPr>
            <w:tcW w:w="881" w:type="dxa"/>
            <w:vAlign w:val="center"/>
          </w:tcPr>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通讯作者（含共同）</w:t>
            </w:r>
          </w:p>
        </w:tc>
        <w:tc>
          <w:tcPr>
            <w:tcW w:w="957" w:type="dxa"/>
            <w:vAlign w:val="center"/>
          </w:tcPr>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第一作者（含共同）</w:t>
            </w:r>
          </w:p>
        </w:tc>
        <w:tc>
          <w:tcPr>
            <w:tcW w:w="876" w:type="dxa"/>
            <w:vAlign w:val="center"/>
          </w:tcPr>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国内作者</w:t>
            </w:r>
          </w:p>
        </w:tc>
        <w:tc>
          <w:tcPr>
            <w:tcW w:w="556" w:type="dxa"/>
            <w:vAlign w:val="center"/>
          </w:tcPr>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他引总次数</w:t>
            </w:r>
          </w:p>
        </w:tc>
        <w:tc>
          <w:tcPr>
            <w:tcW w:w="818" w:type="dxa"/>
            <w:vAlign w:val="center"/>
          </w:tcPr>
          <w:p>
            <w:pPr>
              <w:pStyle w:val="5"/>
              <w:adjustRightInd w:val="0"/>
              <w:spacing w:after="50" w:line="30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检索数据库</w:t>
            </w:r>
          </w:p>
        </w:tc>
        <w:tc>
          <w:tcPr>
            <w:tcW w:w="767" w:type="dxa"/>
            <w:vAlign w:val="center"/>
          </w:tcPr>
          <w:p>
            <w:pPr>
              <w:pStyle w:val="5"/>
              <w:adjustRightInd w:val="0"/>
              <w:spacing w:line="28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1</w:t>
            </w:r>
          </w:p>
        </w:tc>
        <w:tc>
          <w:tcPr>
            <w:tcW w:w="1653" w:type="dxa"/>
            <w:vAlign w:val="center"/>
          </w:tcPr>
          <w:p>
            <w:pPr>
              <w:pStyle w:val="5"/>
              <w:adjustRightInd w:val="0"/>
              <w:spacing w:after="50" w:line="320" w:lineRule="exact"/>
              <w:ind w:firstLine="0" w:firstLineChars="0"/>
              <w:jc w:val="center"/>
              <w:outlineLvl w:val="1"/>
              <w:rPr>
                <w:rFonts w:ascii="楷体" w:hAnsi="楷体" w:eastAsia="楷体" w:cs="楷体"/>
                <w:sz w:val="18"/>
                <w:szCs w:val="18"/>
              </w:rPr>
            </w:pPr>
            <w:r>
              <w:rPr>
                <w:rFonts w:hint="eastAsia" w:ascii="楷体" w:hAnsi="楷体" w:eastAsia="楷体" w:cs="楷体"/>
                <w:sz w:val="18"/>
                <w:szCs w:val="18"/>
              </w:rPr>
              <w:t>Local2Global- Unsupervised multi-view deep graph representation learning with Nearest Neighbor Constraint</w:t>
            </w:r>
          </w:p>
        </w:tc>
        <w:tc>
          <w:tcPr>
            <w:tcW w:w="91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2021年第231卷</w:t>
            </w:r>
          </w:p>
        </w:tc>
        <w:tc>
          <w:tcPr>
            <w:tcW w:w="89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2021-08-25</w:t>
            </w:r>
          </w:p>
        </w:tc>
        <w:tc>
          <w:tcPr>
            <w:tcW w:w="881"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Donghai Zhai</w:t>
            </w:r>
          </w:p>
        </w:tc>
        <w:tc>
          <w:tcPr>
            <w:tcW w:w="95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Xiaobo Zhang</w:t>
            </w:r>
          </w:p>
        </w:tc>
        <w:tc>
          <w:tcPr>
            <w:tcW w:w="876" w:type="dxa"/>
            <w:vAlign w:val="center"/>
          </w:tcPr>
          <w:p>
            <w:pPr>
              <w:pStyle w:val="5"/>
              <w:adjustRightInd w:val="0"/>
              <w:spacing w:after="50" w:line="320" w:lineRule="exact"/>
              <w:ind w:firstLine="0" w:firstLineChars="0"/>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Yan Yang、Tianrui Li、Jielei Chu、Hao Wang</w:t>
            </w:r>
          </w:p>
        </w:tc>
        <w:tc>
          <w:tcPr>
            <w:tcW w:w="55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4</w:t>
            </w:r>
          </w:p>
        </w:tc>
        <w:tc>
          <w:tcPr>
            <w:tcW w:w="818"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SCI-E、EI、CSCD</w:t>
            </w:r>
          </w:p>
        </w:tc>
        <w:tc>
          <w:tcPr>
            <w:tcW w:w="76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w:t>
            </w:r>
          </w:p>
        </w:tc>
        <w:tc>
          <w:tcPr>
            <w:tcW w:w="1653"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Deep neural networks with broad views for Parkinson’s disease screening</w:t>
            </w:r>
          </w:p>
        </w:tc>
        <w:tc>
          <w:tcPr>
            <w:tcW w:w="91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2019年</w:t>
            </w:r>
          </w:p>
        </w:tc>
        <w:tc>
          <w:tcPr>
            <w:tcW w:w="89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2019-11-18</w:t>
            </w:r>
          </w:p>
        </w:tc>
        <w:tc>
          <w:tcPr>
            <w:tcW w:w="881"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Yan Yang</w:t>
            </w:r>
          </w:p>
        </w:tc>
        <w:tc>
          <w:tcPr>
            <w:tcW w:w="95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Xiaobo Zhang</w:t>
            </w:r>
          </w:p>
        </w:tc>
        <w:tc>
          <w:tcPr>
            <w:tcW w:w="876" w:type="dxa"/>
            <w:vAlign w:val="center"/>
          </w:tcPr>
          <w:p>
            <w:pPr>
              <w:pStyle w:val="5"/>
              <w:adjustRightInd w:val="0"/>
              <w:spacing w:after="50" w:line="320" w:lineRule="exact"/>
              <w:ind w:firstLine="0" w:firstLineChars="0"/>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Hao Wang、Shangming Ning、Heng Wang</w:t>
            </w:r>
          </w:p>
        </w:tc>
        <w:tc>
          <w:tcPr>
            <w:tcW w:w="55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0</w:t>
            </w:r>
          </w:p>
        </w:tc>
        <w:tc>
          <w:tcPr>
            <w:tcW w:w="818"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SCI-E、EI、CSCD</w:t>
            </w:r>
          </w:p>
        </w:tc>
        <w:tc>
          <w:tcPr>
            <w:tcW w:w="76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3</w:t>
            </w:r>
          </w:p>
        </w:tc>
        <w:tc>
          <w:tcPr>
            <w:tcW w:w="1653"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Explainable prediction of medical codes with knowledge graphs</w:t>
            </w:r>
          </w:p>
        </w:tc>
        <w:tc>
          <w:tcPr>
            <w:tcW w:w="91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2020年第8卷867页</w:t>
            </w:r>
          </w:p>
        </w:tc>
        <w:tc>
          <w:tcPr>
            <w:tcW w:w="89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2020-08-10</w:t>
            </w:r>
          </w:p>
        </w:tc>
        <w:tc>
          <w:tcPr>
            <w:tcW w:w="881"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Fei Teng</w:t>
            </w:r>
          </w:p>
        </w:tc>
        <w:tc>
          <w:tcPr>
            <w:tcW w:w="95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Fei Teng</w:t>
            </w:r>
          </w:p>
        </w:tc>
        <w:tc>
          <w:tcPr>
            <w:tcW w:w="876" w:type="dxa"/>
            <w:vAlign w:val="center"/>
          </w:tcPr>
          <w:p>
            <w:pPr>
              <w:pStyle w:val="5"/>
              <w:adjustRightInd w:val="0"/>
              <w:spacing w:after="50" w:line="320" w:lineRule="exact"/>
              <w:ind w:firstLine="0" w:firstLineChars="0"/>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Wei Yang、Li Chen、LuFei Huang、Qiang Xu</w:t>
            </w:r>
          </w:p>
        </w:tc>
        <w:tc>
          <w:tcPr>
            <w:tcW w:w="55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12</w:t>
            </w:r>
          </w:p>
        </w:tc>
        <w:tc>
          <w:tcPr>
            <w:tcW w:w="818"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SCI-E、EI、CSCD</w:t>
            </w:r>
          </w:p>
        </w:tc>
        <w:tc>
          <w:tcPr>
            <w:tcW w:w="76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4</w:t>
            </w:r>
          </w:p>
        </w:tc>
        <w:tc>
          <w:tcPr>
            <w:tcW w:w="1653"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sz w:val="18"/>
                <w:szCs w:val="18"/>
              </w:rPr>
              <w:t>Deep Spatial-Temporal Feature Fusion from Adaptive Dynamic Functional Connectivity for MCI Identification</w:t>
            </w:r>
          </w:p>
        </w:tc>
        <w:tc>
          <w:tcPr>
            <w:tcW w:w="916" w:type="dxa"/>
            <w:vAlign w:val="center"/>
          </w:tcPr>
          <w:p>
            <w:pPr>
              <w:pStyle w:val="5"/>
              <w:adjustRightInd w:val="0"/>
              <w:spacing w:after="50" w:line="320" w:lineRule="exact"/>
              <w:ind w:firstLine="0" w:firstLineChars="0"/>
              <w:jc w:val="center"/>
              <w:outlineLvl w:val="1"/>
              <w:rPr>
                <w:rFonts w:hint="eastAsia" w:ascii="楷体" w:hAnsi="楷体" w:eastAsia="楷体" w:cs="楷体"/>
                <w:color w:val="000000"/>
                <w:kern w:val="2"/>
                <w:sz w:val="18"/>
                <w:szCs w:val="18"/>
                <w:lang w:eastAsia="zh-CN"/>
              </w:rPr>
            </w:pPr>
            <w:r>
              <w:rPr>
                <w:rFonts w:hint="eastAsia" w:ascii="楷体" w:hAnsi="楷体" w:eastAsia="楷体" w:cs="楷体"/>
                <w:color w:val="000000"/>
                <w:kern w:val="2"/>
                <w:sz w:val="18"/>
                <w:szCs w:val="18"/>
              </w:rPr>
              <w:t>2020年第39卷第9期</w:t>
            </w:r>
          </w:p>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2818-2830页</w:t>
            </w:r>
          </w:p>
        </w:tc>
        <w:tc>
          <w:tcPr>
            <w:tcW w:w="89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2020-02-27</w:t>
            </w:r>
          </w:p>
        </w:tc>
        <w:tc>
          <w:tcPr>
            <w:tcW w:w="881"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Jingyu Liu</w:t>
            </w:r>
          </w:p>
        </w:tc>
        <w:tc>
          <w:tcPr>
            <w:tcW w:w="95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Yang Li</w:t>
            </w:r>
          </w:p>
        </w:tc>
        <w:tc>
          <w:tcPr>
            <w:tcW w:w="876" w:type="dxa"/>
            <w:vAlign w:val="center"/>
          </w:tcPr>
          <w:p>
            <w:pPr>
              <w:pStyle w:val="5"/>
              <w:adjustRightInd w:val="0"/>
              <w:spacing w:after="50" w:line="320" w:lineRule="exact"/>
              <w:ind w:firstLine="0" w:firstLineChars="0"/>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Zhenyu Tang、Baiying Lei</w:t>
            </w:r>
          </w:p>
        </w:tc>
        <w:tc>
          <w:tcPr>
            <w:tcW w:w="55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47</w:t>
            </w:r>
          </w:p>
        </w:tc>
        <w:tc>
          <w:tcPr>
            <w:tcW w:w="818"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SCI-E、EI、CSCD</w:t>
            </w:r>
          </w:p>
        </w:tc>
        <w:tc>
          <w:tcPr>
            <w:tcW w:w="76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5</w:t>
            </w:r>
          </w:p>
        </w:tc>
        <w:tc>
          <w:tcPr>
            <w:tcW w:w="1653"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Virtual Adversarial Training based Deep Feature Aggregation Network from Dynamic Effective Connectivity for MCI Identification</w:t>
            </w:r>
          </w:p>
        </w:tc>
        <w:tc>
          <w:tcPr>
            <w:tcW w:w="91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2022年第41卷第1期237-251页</w:t>
            </w:r>
          </w:p>
        </w:tc>
        <w:tc>
          <w:tcPr>
            <w:tcW w:w="89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2021-09-07</w:t>
            </w:r>
          </w:p>
        </w:tc>
        <w:tc>
          <w:tcPr>
            <w:tcW w:w="881"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Jingyu Liu</w:t>
            </w:r>
          </w:p>
        </w:tc>
        <w:tc>
          <w:tcPr>
            <w:tcW w:w="95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Yang Li</w:t>
            </w:r>
          </w:p>
        </w:tc>
        <w:tc>
          <w:tcPr>
            <w:tcW w:w="876" w:type="dxa"/>
            <w:vAlign w:val="center"/>
          </w:tcPr>
          <w:p>
            <w:pPr>
              <w:pStyle w:val="5"/>
              <w:adjustRightInd w:val="0"/>
              <w:spacing w:after="50" w:line="320" w:lineRule="exact"/>
              <w:ind w:firstLine="0" w:firstLineChars="0"/>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Jingyu Liu、 </w:t>
            </w:r>
            <w:r>
              <w:rPr>
                <w:rFonts w:hint="eastAsia" w:ascii="楷体" w:hAnsi="楷体" w:eastAsia="楷体" w:cs="楷体"/>
                <w:color w:val="000000"/>
                <w:kern w:val="2"/>
                <w:sz w:val="18"/>
                <w:szCs w:val="18"/>
              </w:rPr>
              <w:fldChar w:fldCharType="begin"/>
            </w:r>
            <w:r>
              <w:rPr>
                <w:rFonts w:hint="eastAsia" w:ascii="楷体" w:hAnsi="楷体" w:eastAsia="楷体" w:cs="楷体"/>
                <w:color w:val="000000"/>
                <w:kern w:val="2"/>
                <w:sz w:val="18"/>
                <w:szCs w:val="18"/>
              </w:rPr>
              <w:instrText xml:space="preserve"> HYPERLINK "http://www.lib.swjtu.edu.cn/asset/search?key=A=Jiang%2c+Yiqiao" \o "Jiang, Yiqiao" </w:instrText>
            </w:r>
            <w:r>
              <w:rPr>
                <w:rFonts w:hint="eastAsia" w:ascii="楷体" w:hAnsi="楷体" w:eastAsia="楷体" w:cs="楷体"/>
                <w:color w:val="000000"/>
                <w:kern w:val="2"/>
                <w:sz w:val="18"/>
                <w:szCs w:val="18"/>
              </w:rPr>
              <w:fldChar w:fldCharType="separate"/>
            </w:r>
            <w:r>
              <w:rPr>
                <w:rFonts w:hint="eastAsia" w:ascii="楷体" w:hAnsi="楷体" w:eastAsia="楷体" w:cs="楷体"/>
                <w:color w:val="000000"/>
                <w:kern w:val="2"/>
                <w:sz w:val="18"/>
                <w:szCs w:val="18"/>
              </w:rPr>
              <w:t>Yiqiao</w:t>
            </w:r>
            <w:r>
              <w:rPr>
                <w:rFonts w:hint="eastAsia" w:ascii="楷体" w:hAnsi="楷体" w:eastAsia="楷体" w:cs="楷体"/>
                <w:color w:val="000000"/>
                <w:kern w:val="2"/>
                <w:sz w:val="18"/>
                <w:szCs w:val="18"/>
              </w:rPr>
              <w:fldChar w:fldCharType="end"/>
            </w:r>
            <w:r>
              <w:rPr>
                <w:rFonts w:hint="eastAsia" w:ascii="楷体" w:hAnsi="楷体" w:eastAsia="楷体" w:cs="楷体"/>
                <w:color w:val="000000"/>
                <w:kern w:val="2"/>
                <w:sz w:val="18"/>
                <w:szCs w:val="18"/>
              </w:rPr>
              <w:t xml:space="preserve"> Jiang、Yu </w:t>
            </w:r>
            <w:r>
              <w:fldChar w:fldCharType="begin"/>
            </w:r>
            <w:r>
              <w:instrText xml:space="preserve"> HYPERLINK "http://www.lib.swjtu.edu.cn/asset/search?key=A=Liu%2c+Yu" \o "Liu, Yu" </w:instrText>
            </w:r>
            <w:r>
              <w:fldChar w:fldCharType="separate"/>
            </w:r>
            <w:r>
              <w:rPr>
                <w:rFonts w:hint="eastAsia" w:ascii="楷体" w:hAnsi="楷体" w:eastAsia="楷体" w:cs="楷体"/>
                <w:color w:val="000000"/>
                <w:kern w:val="2"/>
                <w:sz w:val="18"/>
                <w:szCs w:val="18"/>
              </w:rPr>
              <w:t>Liu</w:t>
            </w:r>
            <w:r>
              <w:rPr>
                <w:rFonts w:hint="eastAsia" w:ascii="楷体" w:hAnsi="楷体" w:eastAsia="楷体" w:cs="楷体"/>
                <w:color w:val="000000"/>
                <w:kern w:val="2"/>
                <w:sz w:val="18"/>
                <w:szCs w:val="18"/>
              </w:rPr>
              <w:fldChar w:fldCharType="end"/>
            </w:r>
            <w:r>
              <w:rPr>
                <w:rFonts w:hint="eastAsia" w:ascii="楷体" w:hAnsi="楷体" w:eastAsia="楷体" w:cs="楷体"/>
                <w:color w:val="000000"/>
                <w:kern w:val="2"/>
                <w:sz w:val="18"/>
                <w:szCs w:val="18"/>
              </w:rPr>
              <w:t>、</w:t>
            </w:r>
            <w:r>
              <w:fldChar w:fldCharType="begin"/>
            </w:r>
            <w:r>
              <w:instrText xml:space="preserve"> HYPERLINK "http://www.lib.swjtu.edu.cn/asset/search?key=A=Lei%2c+Baiying" \o "Lei, Baiying" </w:instrText>
            </w:r>
            <w:r>
              <w:fldChar w:fldCharType="separate"/>
            </w:r>
            <w:r>
              <w:rPr>
                <w:rFonts w:hint="eastAsia" w:ascii="楷体" w:hAnsi="楷体" w:eastAsia="楷体" w:cs="楷体"/>
                <w:color w:val="000000"/>
                <w:kern w:val="2"/>
                <w:sz w:val="18"/>
                <w:szCs w:val="18"/>
              </w:rPr>
              <w:t xml:space="preserve"> Baiying</w:t>
            </w:r>
            <w:r>
              <w:rPr>
                <w:rFonts w:hint="eastAsia" w:ascii="楷体" w:hAnsi="楷体" w:eastAsia="楷体" w:cs="楷体"/>
                <w:color w:val="000000"/>
                <w:kern w:val="2"/>
                <w:sz w:val="18"/>
                <w:szCs w:val="18"/>
              </w:rPr>
              <w:fldChar w:fldCharType="end"/>
            </w:r>
            <w:r>
              <w:rPr>
                <w:rFonts w:hint="eastAsia" w:ascii="楷体" w:hAnsi="楷体" w:eastAsia="楷体" w:cs="楷体"/>
                <w:color w:val="000000"/>
                <w:kern w:val="2"/>
                <w:sz w:val="18"/>
                <w:szCs w:val="18"/>
              </w:rPr>
              <w:t xml:space="preserve"> Lei</w:t>
            </w:r>
          </w:p>
        </w:tc>
        <w:tc>
          <w:tcPr>
            <w:tcW w:w="55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2</w:t>
            </w:r>
          </w:p>
        </w:tc>
        <w:tc>
          <w:tcPr>
            <w:tcW w:w="818"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SCI-E、EI、CSCD</w:t>
            </w:r>
          </w:p>
        </w:tc>
        <w:tc>
          <w:tcPr>
            <w:tcW w:w="767"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6594" w:type="dxa"/>
            <w:gridSpan w:val="7"/>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合  计</w:t>
            </w:r>
          </w:p>
        </w:tc>
        <w:tc>
          <w:tcPr>
            <w:tcW w:w="556"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r>
              <w:rPr>
                <w:rFonts w:hint="eastAsia" w:ascii="楷体" w:hAnsi="楷体" w:eastAsia="楷体" w:cs="楷体"/>
                <w:color w:val="000000"/>
                <w:kern w:val="2"/>
                <w:sz w:val="18"/>
                <w:szCs w:val="18"/>
              </w:rPr>
              <w:t>65</w:t>
            </w:r>
          </w:p>
        </w:tc>
        <w:tc>
          <w:tcPr>
            <w:tcW w:w="818" w:type="dxa"/>
            <w:vAlign w:val="center"/>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p>
        </w:tc>
        <w:tc>
          <w:tcPr>
            <w:tcW w:w="767" w:type="dxa"/>
          </w:tcPr>
          <w:p>
            <w:pPr>
              <w:pStyle w:val="5"/>
              <w:adjustRightInd w:val="0"/>
              <w:spacing w:after="50" w:line="320" w:lineRule="exact"/>
              <w:ind w:firstLine="0" w:firstLineChars="0"/>
              <w:jc w:val="center"/>
              <w:outlineLvl w:val="1"/>
              <w:rPr>
                <w:rFonts w:ascii="楷体" w:hAnsi="楷体" w:eastAsia="楷体" w:cs="楷体"/>
                <w:color w:val="000000"/>
                <w:kern w:val="2"/>
                <w:sz w:val="18"/>
                <w:szCs w:val="18"/>
              </w:rPr>
            </w:pPr>
          </w:p>
        </w:tc>
      </w:tr>
    </w:tbl>
    <w:p>
      <w:pPr>
        <w:numPr>
          <w:ilvl w:val="0"/>
          <w:numId w:val="2"/>
        </w:numPr>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项目简介</w:t>
      </w:r>
    </w:p>
    <w:p>
      <w:pPr>
        <w:rPr>
          <w:rFonts w:hint="eastAsia" w:ascii="仿宋" w:hAnsi="仿宋" w:eastAsia="仿宋" w:cs="仿宋"/>
          <w:sz w:val="32"/>
          <w:szCs w:val="32"/>
        </w:rPr>
      </w:pPr>
      <w:r>
        <w:rPr>
          <w:rFonts w:hint="eastAsia" w:ascii="仿宋" w:hAnsi="仿宋" w:eastAsia="仿宋" w:cs="仿宋"/>
          <w:sz w:val="32"/>
          <w:szCs w:val="32"/>
        </w:rPr>
        <w:t>随着世界人口老龄化的加剧，老年慢性神经退行性疾病发病率与患病率呈现上升趋势。虽然人工智能技术与帕金森病智能诊断技术之间的联系日趋密切，但是现有的帕金森病智能诊断技术存在很多问题，如用于研究的医学图像数据量小、深度神经网络难以用于从脑网络中学习高维表示、多源异构的文本医疗数据掩盖了特定诊断背后的原因和细节等。在国家自然科学基金联合重点项目、国家自然科学基金面上项目、国家自然科学基金青年基金项目等多个科技计划的长期支持下，团队通过系统的理论研究和技术研发，解决了当前的瓶颈问题，取得的发明成果如下：</w:t>
      </w:r>
    </w:p>
    <w:p>
      <w:pPr>
        <w:rPr>
          <w:rFonts w:hint="eastAsia" w:ascii="仿宋" w:hAnsi="仿宋" w:eastAsia="仿宋" w:cs="仿宋"/>
          <w:sz w:val="32"/>
          <w:szCs w:val="32"/>
        </w:rPr>
      </w:pPr>
      <w:r>
        <w:rPr>
          <w:rFonts w:hint="eastAsia" w:ascii="仿宋" w:hAnsi="仿宋" w:eastAsia="仿宋" w:cs="仿宋"/>
          <w:sz w:val="32"/>
          <w:szCs w:val="32"/>
        </w:rPr>
        <w:t>（1）发明了医学图像生成技术，解决了医学图像数据少的研究难题。发明了基于生成对抗网络生成医学MRI图像的方法，通过构造渐进型的生成对抗网络，生成了高质量的医学MRI图像；发明了多尺度特征融合的双重注意分层潜在生成网络，通过聚合不同尺度特征的全局和局部信息，生成了更准确的重建图像；发明了高级特征提取技术，解决了医学图像特征的表示难题，保证了在核磁共振影像数据中提取到更多有效的特征信息；发明了针对网络结构与准确率的优化技术，解决了分类效果的增强难题，在不增长参数复杂度的前提下提高了预测准确率。</w:t>
      </w:r>
    </w:p>
    <w:p>
      <w:pPr>
        <w:rPr>
          <w:rFonts w:hint="eastAsia" w:ascii="仿宋" w:hAnsi="仿宋" w:eastAsia="仿宋" w:cs="仿宋"/>
          <w:sz w:val="32"/>
          <w:szCs w:val="32"/>
        </w:rPr>
      </w:pPr>
      <w:r>
        <w:rPr>
          <w:rFonts w:hint="eastAsia" w:ascii="仿宋" w:hAnsi="仿宋" w:eastAsia="仿宋" w:cs="仿宋"/>
          <w:sz w:val="32"/>
          <w:szCs w:val="32"/>
        </w:rPr>
        <w:t>（2）发明了医疗文本数据的补全与聚类技术，解决了异构文本数据的使用难题。发明知识图谱补全方法，捕获了知识图谱中事实的长期依赖性和局部结构信息；发明面向医学文本的实体关系联合抽取方法，解决了实体和关系类别和位置分布不均匀、多对关系同时出现在同一句的问题；发明医疗检测文本信息数据聚类技术，实现了对不同类型患者的分类。</w:t>
      </w:r>
    </w:p>
    <w:p>
      <w:pPr>
        <w:rPr>
          <w:rFonts w:hint="eastAsia" w:ascii="仿宋" w:hAnsi="仿宋" w:eastAsia="仿宋" w:cs="仿宋"/>
          <w:sz w:val="32"/>
          <w:szCs w:val="32"/>
        </w:rPr>
      </w:pPr>
      <w:r>
        <w:rPr>
          <w:rFonts w:hint="eastAsia" w:ascii="仿宋" w:hAnsi="仿宋" w:eastAsia="仿宋" w:cs="仿宋"/>
          <w:sz w:val="32"/>
          <w:szCs w:val="32"/>
        </w:rPr>
        <w:t>（3）发明了实用医疗工具与诊断系统，解决了帕金森病研究的应用问题。发明帕金森病智能诊断信息系统，包括病理检测、医疗知识公布、医生诊断等功能，解决了医疗环境中辅助诊断需求等问题，提高了帕金森病的诊断效率；发明神经内科用叩诊锤，为震动觉检查提供了便利。</w:t>
      </w:r>
    </w:p>
    <w:p>
      <w:pPr>
        <w:rPr>
          <w:rFonts w:hint="eastAsia" w:ascii="仿宋" w:hAnsi="仿宋" w:eastAsia="仿宋" w:cs="仿宋"/>
          <w:sz w:val="32"/>
          <w:szCs w:val="32"/>
          <w:lang w:eastAsia="zh-CN"/>
        </w:rPr>
      </w:pPr>
      <w:r>
        <w:rPr>
          <w:rFonts w:hint="eastAsia" w:ascii="仿宋" w:hAnsi="仿宋" w:eastAsia="仿宋" w:cs="仿宋"/>
          <w:sz w:val="32"/>
          <w:szCs w:val="32"/>
        </w:rPr>
        <w:t>该项目成果获授权发明专利12项，在IEEE Trans. MI、KBS、FRONT BIOENG BIOTECH、计算机学报等国际国内期刊及IJCAI、BIBM等国际学术会议发表SCI/EI学术论文70篇。其中SCI论文46篇，ESI高被引论文2篇，作国际国内会议特邀报告8次。代表性成果已成功应用于80余所医疗机构，近三年累计实现收入6365.4万元，显著推动了相关领域的技术进步与发展，同时，产生了重大的经济、社会效益</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widowControl w:val="0"/>
        <w:numPr>
          <w:ilvl w:val="0"/>
          <w:numId w:val="2"/>
        </w:numPr>
        <w:ind w:left="0" w:leftChars="0" w:firstLine="0" w:firstLineChars="0"/>
        <w:jc w:val="both"/>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主要完成人</w:t>
      </w:r>
    </w:p>
    <w:p>
      <w:pPr>
        <w:widowControl w:val="0"/>
        <w:numPr>
          <w:ilvl w:val="0"/>
          <w:numId w:val="0"/>
        </w:numPr>
        <w:jc w:val="both"/>
        <w:rPr>
          <w:rFonts w:hint="eastAsia" w:ascii="仿宋" w:hAnsi="仿宋" w:eastAsia="仿宋" w:cs="仿宋"/>
          <w:color w:val="000000"/>
          <w:sz w:val="32"/>
          <w:szCs w:val="32"/>
        </w:rPr>
      </w:pPr>
      <w:r>
        <w:rPr>
          <w:rFonts w:hint="eastAsia" w:ascii="仿宋" w:hAnsi="仿宋" w:eastAsia="仿宋" w:cs="仿宋"/>
          <w:color w:val="000000"/>
          <w:sz w:val="32"/>
          <w:szCs w:val="32"/>
        </w:rPr>
        <w:t>张晓博、滕飞、柳华、尹泽钢、李阳、李伟、卢志杰、詹柯、骆飞飞、李文涵</w:t>
      </w:r>
    </w:p>
    <w:p>
      <w:pPr>
        <w:widowControl w:val="0"/>
        <w:numPr>
          <w:ilvl w:val="0"/>
          <w:numId w:val="0"/>
        </w:numPr>
        <w:jc w:val="both"/>
        <w:rPr>
          <w:rFonts w:hint="default"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七、完成单位</w:t>
      </w:r>
    </w:p>
    <w:p>
      <w:pPr>
        <w:rPr>
          <w:rFonts w:hint="eastAsia" w:ascii="仿宋" w:hAnsi="仿宋" w:eastAsia="仿宋" w:cs="仿宋"/>
          <w:sz w:val="32"/>
          <w:szCs w:val="32"/>
          <w:lang w:eastAsia="zh-CN"/>
        </w:rPr>
      </w:pPr>
      <w:r>
        <w:rPr>
          <w:rFonts w:hint="eastAsia" w:ascii="仿宋" w:hAnsi="仿宋" w:eastAsia="仿宋" w:cs="仿宋"/>
          <w:sz w:val="32"/>
          <w:szCs w:val="32"/>
        </w:rPr>
        <w:t>西南交通大学、中国人民解放军西部战区总医院、成都市第三人民医院、北京航空航天大学、广州欧蒙未一医学检验实验室有限公司</w:t>
      </w:r>
    </w:p>
    <w:p>
      <w:pPr>
        <w:rPr>
          <w:sz w:val="24"/>
          <w:szCs w:val="24"/>
        </w:rPr>
      </w:pPr>
      <w:bookmarkStart w:id="0" w:name="_GoBack"/>
      <w:bookmarkEnd w:id="0"/>
    </w:p>
    <w:p>
      <w:pPr>
        <w:rPr>
          <w:sz w:val="24"/>
          <w:szCs w:val="24"/>
        </w:rPr>
      </w:pPr>
    </w:p>
    <w:p>
      <w:pPr>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5905D"/>
    <w:multiLevelType w:val="singleLevel"/>
    <w:tmpl w:val="2575905D"/>
    <w:lvl w:ilvl="0" w:tentative="0">
      <w:start w:val="3"/>
      <w:numFmt w:val="chineseCounting"/>
      <w:suff w:val="nothing"/>
      <w:lvlText w:val="%1、"/>
      <w:lvlJc w:val="left"/>
      <w:rPr>
        <w:rFonts w:hint="eastAsia"/>
      </w:rPr>
    </w:lvl>
  </w:abstractNum>
  <w:abstractNum w:abstractNumId="1">
    <w:nsid w:val="7ABDEE81"/>
    <w:multiLevelType w:val="singleLevel"/>
    <w:tmpl w:val="7ABDEE8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NDMxYTU3YWVmYjJkY2UzMTAwYTljZjExZmY1NDcifQ=="/>
  </w:docVars>
  <w:rsids>
    <w:rsidRoot w:val="23535C56"/>
    <w:rsid w:val="00475BB4"/>
    <w:rsid w:val="007E48C6"/>
    <w:rsid w:val="00DB4B30"/>
    <w:rsid w:val="00DE1BE7"/>
    <w:rsid w:val="02D23086"/>
    <w:rsid w:val="04493518"/>
    <w:rsid w:val="04671993"/>
    <w:rsid w:val="05A50F26"/>
    <w:rsid w:val="06242FF1"/>
    <w:rsid w:val="08D062B9"/>
    <w:rsid w:val="09FC6D4A"/>
    <w:rsid w:val="0BF86D50"/>
    <w:rsid w:val="0C2A3F33"/>
    <w:rsid w:val="0E4600AD"/>
    <w:rsid w:val="0F4D4A13"/>
    <w:rsid w:val="111C6951"/>
    <w:rsid w:val="120E5E65"/>
    <w:rsid w:val="12DB7D35"/>
    <w:rsid w:val="154020D1"/>
    <w:rsid w:val="178A2F5A"/>
    <w:rsid w:val="183579BB"/>
    <w:rsid w:val="191378B6"/>
    <w:rsid w:val="1D966DCC"/>
    <w:rsid w:val="1F161A25"/>
    <w:rsid w:val="20B46B18"/>
    <w:rsid w:val="224D1804"/>
    <w:rsid w:val="23535C56"/>
    <w:rsid w:val="249D12EE"/>
    <w:rsid w:val="252B1041"/>
    <w:rsid w:val="255C3CCF"/>
    <w:rsid w:val="27FA25B3"/>
    <w:rsid w:val="28E95015"/>
    <w:rsid w:val="2D4711B0"/>
    <w:rsid w:val="308675C7"/>
    <w:rsid w:val="34CD748C"/>
    <w:rsid w:val="35D02BA5"/>
    <w:rsid w:val="35E328D9"/>
    <w:rsid w:val="360E1236"/>
    <w:rsid w:val="36EA5104"/>
    <w:rsid w:val="370D663B"/>
    <w:rsid w:val="394A4815"/>
    <w:rsid w:val="39D12320"/>
    <w:rsid w:val="3AF92B9E"/>
    <w:rsid w:val="3C745D85"/>
    <w:rsid w:val="3E027FBC"/>
    <w:rsid w:val="3ECF60F0"/>
    <w:rsid w:val="409018AF"/>
    <w:rsid w:val="433E3844"/>
    <w:rsid w:val="44D92F06"/>
    <w:rsid w:val="45EC70E7"/>
    <w:rsid w:val="46115240"/>
    <w:rsid w:val="46CE0650"/>
    <w:rsid w:val="4A985F30"/>
    <w:rsid w:val="4AC91857"/>
    <w:rsid w:val="4C39104D"/>
    <w:rsid w:val="4C9D3455"/>
    <w:rsid w:val="4DAF39B8"/>
    <w:rsid w:val="513D15DF"/>
    <w:rsid w:val="51750D79"/>
    <w:rsid w:val="53095C1D"/>
    <w:rsid w:val="549B0215"/>
    <w:rsid w:val="55FC07CB"/>
    <w:rsid w:val="563B3C13"/>
    <w:rsid w:val="56D378B7"/>
    <w:rsid w:val="58030761"/>
    <w:rsid w:val="58AA2F55"/>
    <w:rsid w:val="5AB27C93"/>
    <w:rsid w:val="5D41558C"/>
    <w:rsid w:val="5DA00D2B"/>
    <w:rsid w:val="5EDE43D3"/>
    <w:rsid w:val="600C0AFA"/>
    <w:rsid w:val="61D373F6"/>
    <w:rsid w:val="62A5064B"/>
    <w:rsid w:val="64155AA4"/>
    <w:rsid w:val="67524DB4"/>
    <w:rsid w:val="675F78CB"/>
    <w:rsid w:val="67923906"/>
    <w:rsid w:val="6DA32E76"/>
    <w:rsid w:val="70F353BF"/>
    <w:rsid w:val="724A54B2"/>
    <w:rsid w:val="73D95FB4"/>
    <w:rsid w:val="77494CC6"/>
    <w:rsid w:val="79B3393D"/>
    <w:rsid w:val="7C5E2286"/>
    <w:rsid w:val="7DE71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ind w:left="420" w:leftChars="200"/>
    </w:pPr>
  </w:style>
  <w:style w:type="paragraph" w:styleId="4">
    <w:name w:val="annotation text"/>
    <w:basedOn w:val="1"/>
    <w:unhideWhenUsed/>
    <w:uiPriority w:val="99"/>
    <w:pPr>
      <w:jc w:val="left"/>
    </w:pPr>
    <w:rPr>
      <w:kern w:val="0"/>
      <w:sz w:val="20"/>
    </w:rPr>
  </w:style>
  <w:style w:type="paragraph" w:styleId="5">
    <w:name w:val="Plain Text"/>
    <w:basedOn w:val="1"/>
    <w:qFormat/>
    <w:uiPriority w:val="99"/>
    <w:pPr>
      <w:spacing w:line="360" w:lineRule="auto"/>
      <w:ind w:firstLine="480" w:firstLineChars="200"/>
    </w:pPr>
    <w:rPr>
      <w:rFonts w:ascii="仿宋_GB2312" w:hAnsi="等线" w:eastAsia="等线"/>
      <w:kern w:val="0"/>
      <w:sz w:val="24"/>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tabs>
        <w:tab w:val="center" w:pos="4153"/>
        <w:tab w:val="right" w:pos="8306"/>
      </w:tabs>
      <w:snapToGrid w:val="0"/>
      <w:jc w:val="center"/>
    </w:pPr>
    <w:rPr>
      <w:sz w:val="18"/>
      <w:szCs w:val="18"/>
    </w:rPr>
  </w:style>
  <w:style w:type="paragraph" w:styleId="8">
    <w:name w:val="Body Text Indent 3"/>
    <w:basedOn w:val="1"/>
    <w:semiHidden/>
    <w:qFormat/>
    <w:uiPriority w:val="0"/>
    <w:pPr>
      <w:ind w:firstLine="420" w:firstLineChars="200"/>
    </w:pPr>
    <w:rPr>
      <w:kern w:val="0"/>
      <w:sz w:val="16"/>
      <w:szCs w:val="16"/>
    </w:rPr>
  </w:style>
  <w:style w:type="paragraph" w:customStyle="1" w:styleId="11">
    <w:name w:val="_Style 8"/>
    <w:basedOn w:val="1"/>
    <w:next w:val="1"/>
    <w:qFormat/>
    <w:uiPriority w:val="0"/>
    <w:pPr>
      <w:spacing w:line="360" w:lineRule="auto"/>
      <w:ind w:firstLine="480" w:firstLineChars="200"/>
    </w:pPr>
    <w:rPr>
      <w:rFonts w:ascii="仿宋_GB2312"/>
      <w:sz w:val="24"/>
    </w:rPr>
  </w:style>
  <w:style w:type="character" w:customStyle="1" w:styleId="12">
    <w:name w:val="页眉 字符"/>
    <w:basedOn w:val="10"/>
    <w:link w:val="7"/>
    <w:uiPriority w:val="0"/>
    <w:rPr>
      <w:kern w:val="2"/>
      <w:sz w:val="18"/>
      <w:szCs w:val="18"/>
    </w:rPr>
  </w:style>
  <w:style w:type="character" w:customStyle="1" w:styleId="13">
    <w:name w:val="页脚 字符"/>
    <w:basedOn w:val="10"/>
    <w:link w:val="6"/>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2725</Words>
  <Characters>3890</Characters>
  <Lines>31</Lines>
  <Paragraphs>8</Paragraphs>
  <TotalTime>0</TotalTime>
  <ScaleCrop>false</ScaleCrop>
  <LinksUpToDate>false</LinksUpToDate>
  <CharactersWithSpaces>3995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2023-06-28T02:29:00Z</dcterms:created>
  <dc:creator>Lynnchen</dc:creator>
  <cp:lastModifiedBy>QSF</cp:lastModifiedBy>
  <dcterms:modified xsi:type="dcterms:W3CDTF">2023-06-29T00:14:48Z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5F9137E9861E4761A74643D6E5087E63_11</vt:lpwstr>
  </property>
</Properties>
</file>