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BD69" w14:textId="07E33806" w:rsidR="00713522" w:rsidRDefault="00000000">
      <w:pPr>
        <w:snapToGrid w:val="0"/>
        <w:spacing w:line="24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附件 </w:t>
      </w:r>
      <w:r w:rsidR="00737788">
        <w:rPr>
          <w:rFonts w:ascii="黑体" w:eastAsia="黑体" w:hAnsi="黑体" w:hint="eastAsia"/>
        </w:rPr>
        <w:t>1</w:t>
      </w:r>
    </w:p>
    <w:p w14:paraId="452B4A46" w14:textId="77777777" w:rsidR="004708D0" w:rsidRDefault="00000000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/>
        </w:rPr>
      </w:pPr>
      <w:r w:rsidRPr="00A65509">
        <w:rPr>
          <w:rFonts w:ascii="黑体" w:eastAsia="黑体" w:hAnsi="黑体" w:hint="eastAsia"/>
        </w:rPr>
        <w:t>2025年</w:t>
      </w:r>
      <w:r w:rsidR="00737788" w:rsidRPr="00A65509">
        <w:rPr>
          <w:rFonts w:ascii="黑体" w:eastAsia="黑体" w:hAnsi="黑体" w:hint="eastAsia"/>
        </w:rPr>
        <w:t>临床科室申请新药</w:t>
      </w:r>
    </w:p>
    <w:p w14:paraId="04D943F0" w14:textId="7842C9F9" w:rsidR="00713522" w:rsidRDefault="00713522">
      <w:pPr>
        <w:snapToGrid w:val="0"/>
        <w:spacing w:line="240" w:lineRule="auto"/>
        <w:ind w:firstLineChars="0" w:firstLine="0"/>
        <w:rPr>
          <w:rFonts w:ascii="楷体_GB2312" w:eastAsia="楷体_GB2312"/>
          <w:sz w:val="21"/>
          <w:szCs w:val="21"/>
        </w:rPr>
      </w:pPr>
    </w:p>
    <w:tbl>
      <w:tblPr>
        <w:tblStyle w:val="ab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717"/>
        <w:gridCol w:w="1277"/>
        <w:gridCol w:w="2268"/>
        <w:gridCol w:w="1098"/>
        <w:gridCol w:w="2110"/>
      </w:tblGrid>
      <w:tr w:rsidR="002770B3" w:rsidRPr="00A65509" w14:paraId="7C397229" w14:textId="77777777" w:rsidTr="00FA6D3A">
        <w:trPr>
          <w:trHeight w:val="653"/>
          <w:tblHeader/>
          <w:jc w:val="center"/>
        </w:trPr>
        <w:tc>
          <w:tcPr>
            <w:tcW w:w="303" w:type="pct"/>
            <w:vAlign w:val="center"/>
          </w:tcPr>
          <w:p w14:paraId="1E1005B6" w14:textId="77777777" w:rsidR="002770B3" w:rsidRPr="00A65509" w:rsidRDefault="002770B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2" w:type="pct"/>
            <w:vAlign w:val="center"/>
          </w:tcPr>
          <w:p w14:paraId="67B7E172" w14:textId="77777777" w:rsidR="002770B3" w:rsidRPr="00A65509" w:rsidRDefault="002770B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药品名称</w:t>
            </w:r>
          </w:p>
        </w:tc>
        <w:tc>
          <w:tcPr>
            <w:tcW w:w="708" w:type="pct"/>
            <w:vAlign w:val="center"/>
          </w:tcPr>
          <w:p w14:paraId="1450B373" w14:textId="77777777" w:rsidR="002770B3" w:rsidRPr="00A65509" w:rsidRDefault="002770B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剂型</w:t>
            </w:r>
          </w:p>
        </w:tc>
        <w:tc>
          <w:tcPr>
            <w:tcW w:w="1258" w:type="pct"/>
            <w:vAlign w:val="center"/>
          </w:tcPr>
          <w:p w14:paraId="7700FEDE" w14:textId="33A088D4" w:rsidR="002770B3" w:rsidRPr="00A65509" w:rsidRDefault="002770B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609" w:type="pct"/>
            <w:vAlign w:val="center"/>
          </w:tcPr>
          <w:p w14:paraId="357D19AD" w14:textId="05A78C03" w:rsidR="002770B3" w:rsidRDefault="002770B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转换比</w:t>
            </w:r>
          </w:p>
        </w:tc>
        <w:tc>
          <w:tcPr>
            <w:tcW w:w="1170" w:type="pct"/>
            <w:vAlign w:val="center"/>
          </w:tcPr>
          <w:p w14:paraId="6872BA22" w14:textId="5C1BE716" w:rsidR="002770B3" w:rsidRPr="00A65509" w:rsidRDefault="002770B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生产</w:t>
            </w: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厂家</w:t>
            </w:r>
          </w:p>
        </w:tc>
      </w:tr>
      <w:tr w:rsidR="002770B3" w:rsidRPr="00A65509" w14:paraId="4BAEDB45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42DD8CED" w14:textId="77777777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2" w:type="pct"/>
            <w:vAlign w:val="center"/>
          </w:tcPr>
          <w:p w14:paraId="487427A7" w14:textId="4217D639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示踪用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盐酸米托蒽醌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708" w:type="pct"/>
            <w:vAlign w:val="center"/>
          </w:tcPr>
          <w:p w14:paraId="2B221D6B" w14:textId="0B5096DE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注射剂</w:t>
            </w:r>
          </w:p>
        </w:tc>
        <w:tc>
          <w:tcPr>
            <w:tcW w:w="1258" w:type="pct"/>
            <w:vAlign w:val="center"/>
          </w:tcPr>
          <w:p w14:paraId="56CF4CFD" w14:textId="7953C7E5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1ml:5mg</w:t>
            </w:r>
          </w:p>
        </w:tc>
        <w:tc>
          <w:tcPr>
            <w:tcW w:w="609" w:type="pct"/>
            <w:vAlign w:val="center"/>
          </w:tcPr>
          <w:p w14:paraId="388BA06D" w14:textId="07B301AC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1170" w:type="pct"/>
            <w:vAlign w:val="center"/>
          </w:tcPr>
          <w:p w14:paraId="6F39E599" w14:textId="2FC6EC92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上海创诺制药有限公司</w:t>
            </w:r>
          </w:p>
        </w:tc>
      </w:tr>
      <w:tr w:rsidR="002770B3" w:rsidRPr="00A65509" w14:paraId="1FB22853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248CB46D" w14:textId="42D62DF2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2" w:type="pct"/>
            <w:vAlign w:val="center"/>
          </w:tcPr>
          <w:p w14:paraId="44F27637" w14:textId="278220C0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茚达格莫吸入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粉雾剂（II）</w:t>
            </w:r>
          </w:p>
        </w:tc>
        <w:tc>
          <w:tcPr>
            <w:tcW w:w="708" w:type="pct"/>
            <w:vAlign w:val="center"/>
          </w:tcPr>
          <w:p w14:paraId="24ADF3CC" w14:textId="1A9B0426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吸入粉雾剂</w:t>
            </w:r>
          </w:p>
        </w:tc>
        <w:tc>
          <w:tcPr>
            <w:tcW w:w="1258" w:type="pct"/>
            <w:vAlign w:val="center"/>
          </w:tcPr>
          <w:p w14:paraId="406EAE74" w14:textId="3CCEDE98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每粒含醋酸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茚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达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特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罗150ug、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格隆溴铵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50ug和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糠酸莫米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松160ug</w:t>
            </w:r>
          </w:p>
        </w:tc>
        <w:tc>
          <w:tcPr>
            <w:tcW w:w="609" w:type="pct"/>
            <w:vAlign w:val="center"/>
          </w:tcPr>
          <w:p w14:paraId="2113F429" w14:textId="58D1B7CC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30</w:t>
            </w:r>
          </w:p>
        </w:tc>
        <w:tc>
          <w:tcPr>
            <w:tcW w:w="1170" w:type="pct"/>
            <w:vAlign w:val="center"/>
          </w:tcPr>
          <w:p w14:paraId="10A8A33B" w14:textId="7D6E5E86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 xml:space="preserve">Siegfried </w:t>
            </w:r>
            <w:proofErr w:type="spellStart"/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BarberaS.L.;Novartis</w:t>
            </w:r>
            <w:proofErr w:type="spellEnd"/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 xml:space="preserve"> Pharma Stein AG</w:t>
            </w:r>
          </w:p>
        </w:tc>
      </w:tr>
      <w:tr w:rsidR="002770B3" w:rsidRPr="00A65509" w14:paraId="46067F9B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10C1BE4A" w14:textId="73191720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2" w:type="pct"/>
            <w:vAlign w:val="center"/>
          </w:tcPr>
          <w:p w14:paraId="73ADD0F5" w14:textId="462F29A3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替尔泊肽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注射液</w:t>
            </w:r>
          </w:p>
        </w:tc>
        <w:tc>
          <w:tcPr>
            <w:tcW w:w="708" w:type="pct"/>
            <w:vAlign w:val="center"/>
          </w:tcPr>
          <w:p w14:paraId="6E362A0E" w14:textId="01CC9E86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注射剂</w:t>
            </w:r>
          </w:p>
        </w:tc>
        <w:tc>
          <w:tcPr>
            <w:tcW w:w="1258" w:type="pct"/>
            <w:vAlign w:val="center"/>
          </w:tcPr>
          <w:p w14:paraId="2EF86062" w14:textId="0084E60E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2.4ml：20mg</w:t>
            </w:r>
          </w:p>
        </w:tc>
        <w:tc>
          <w:tcPr>
            <w:tcW w:w="609" w:type="pct"/>
            <w:vAlign w:val="center"/>
          </w:tcPr>
          <w:p w14:paraId="7E0E4BF4" w14:textId="057A4B81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1170" w:type="pct"/>
            <w:vAlign w:val="center"/>
          </w:tcPr>
          <w:p w14:paraId="6B26DC69" w14:textId="0E2D3172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Eli Lilly Italia S.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p.A</w:t>
            </w:r>
            <w:proofErr w:type="gramEnd"/>
          </w:p>
        </w:tc>
      </w:tr>
      <w:tr w:rsidR="002770B3" w:rsidRPr="00A65509" w14:paraId="34F134A8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025A2C83" w14:textId="23259CBF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2" w:type="pct"/>
            <w:vAlign w:val="center"/>
          </w:tcPr>
          <w:p w14:paraId="586A50D7" w14:textId="1A5D1B6C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氢溴酸加兰他敏片</w:t>
            </w:r>
          </w:p>
        </w:tc>
        <w:tc>
          <w:tcPr>
            <w:tcW w:w="708" w:type="pct"/>
            <w:vAlign w:val="center"/>
          </w:tcPr>
          <w:p w14:paraId="01AC2B3E" w14:textId="312198E3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片剂</w:t>
            </w:r>
          </w:p>
        </w:tc>
        <w:tc>
          <w:tcPr>
            <w:tcW w:w="1258" w:type="pct"/>
            <w:vAlign w:val="center"/>
          </w:tcPr>
          <w:p w14:paraId="4503998D" w14:textId="73881E17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5mg</w:t>
            </w:r>
            <w:r w:rsidR="000E4DF1" w:rsidRPr="002770B3">
              <w:rPr>
                <w:rFonts w:ascii="仿宋_GB2312" w:hAnsi="仿宋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9" w:type="pct"/>
            <w:vAlign w:val="center"/>
          </w:tcPr>
          <w:p w14:paraId="542357D5" w14:textId="43E8DF69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30</w:t>
            </w:r>
          </w:p>
        </w:tc>
        <w:tc>
          <w:tcPr>
            <w:tcW w:w="1170" w:type="pct"/>
            <w:vAlign w:val="center"/>
          </w:tcPr>
          <w:p w14:paraId="02ECE1E9" w14:textId="76CE9224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浙江金华康恩贝生物制药有限公司</w:t>
            </w:r>
          </w:p>
        </w:tc>
      </w:tr>
      <w:tr w:rsidR="002770B3" w:rsidRPr="00A65509" w14:paraId="4775FF75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247DD465" w14:textId="5EFE7434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2" w:type="pct"/>
            <w:vAlign w:val="center"/>
          </w:tcPr>
          <w:p w14:paraId="0A49E57C" w14:textId="00F1C379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注射用丝裂霉素</w:t>
            </w:r>
          </w:p>
        </w:tc>
        <w:tc>
          <w:tcPr>
            <w:tcW w:w="708" w:type="pct"/>
            <w:vAlign w:val="center"/>
          </w:tcPr>
          <w:p w14:paraId="4FF581C4" w14:textId="35EE1F90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注射剂</w:t>
            </w:r>
          </w:p>
        </w:tc>
        <w:tc>
          <w:tcPr>
            <w:tcW w:w="1258" w:type="pct"/>
            <w:vAlign w:val="center"/>
          </w:tcPr>
          <w:p w14:paraId="18800D21" w14:textId="0B3DB8F3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10mg</w:t>
            </w:r>
          </w:p>
        </w:tc>
        <w:tc>
          <w:tcPr>
            <w:tcW w:w="609" w:type="pct"/>
            <w:vAlign w:val="center"/>
          </w:tcPr>
          <w:p w14:paraId="33B0068E" w14:textId="51B412A6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1170" w:type="pct"/>
            <w:vAlign w:val="center"/>
          </w:tcPr>
          <w:p w14:paraId="0925C186" w14:textId="6DC963F7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浙江海正药业股份有限公司</w:t>
            </w:r>
          </w:p>
        </w:tc>
      </w:tr>
      <w:tr w:rsidR="002770B3" w:rsidRPr="00A65509" w14:paraId="21342842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14D61767" w14:textId="7F2882B5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2" w:type="pct"/>
            <w:vAlign w:val="center"/>
          </w:tcPr>
          <w:p w14:paraId="744C9378" w14:textId="55E4A623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蔗糖羟基氧化铁咀嚼片</w:t>
            </w:r>
          </w:p>
        </w:tc>
        <w:tc>
          <w:tcPr>
            <w:tcW w:w="708" w:type="pct"/>
            <w:vAlign w:val="center"/>
          </w:tcPr>
          <w:p w14:paraId="38C2669E" w14:textId="59ECE963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片剂</w:t>
            </w:r>
          </w:p>
        </w:tc>
        <w:tc>
          <w:tcPr>
            <w:tcW w:w="1258" w:type="pct"/>
            <w:vAlign w:val="center"/>
          </w:tcPr>
          <w:p w14:paraId="14E79757" w14:textId="7E7A42EE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0.5g(按Fe计）</w:t>
            </w:r>
          </w:p>
        </w:tc>
        <w:tc>
          <w:tcPr>
            <w:tcW w:w="609" w:type="pct"/>
            <w:vAlign w:val="center"/>
          </w:tcPr>
          <w:p w14:paraId="088DB6FC" w14:textId="19EEF002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30</w:t>
            </w:r>
          </w:p>
        </w:tc>
        <w:tc>
          <w:tcPr>
            <w:tcW w:w="1170" w:type="pct"/>
            <w:vAlign w:val="center"/>
          </w:tcPr>
          <w:p w14:paraId="520D57B5" w14:textId="620CE25B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Corden Pharma Fribourg SA</w:t>
            </w:r>
          </w:p>
        </w:tc>
      </w:tr>
      <w:tr w:rsidR="002770B3" w:rsidRPr="00A65509" w14:paraId="06CE32D1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68F93A20" w14:textId="27A8BA76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2" w:type="pct"/>
            <w:vAlign w:val="center"/>
          </w:tcPr>
          <w:p w14:paraId="3C37C8C6" w14:textId="3FC67ADC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依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柯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胰岛素注射液</w:t>
            </w:r>
          </w:p>
        </w:tc>
        <w:tc>
          <w:tcPr>
            <w:tcW w:w="708" w:type="pct"/>
            <w:vAlign w:val="center"/>
          </w:tcPr>
          <w:p w14:paraId="431E2407" w14:textId="6EEDBE72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注射剂</w:t>
            </w:r>
          </w:p>
        </w:tc>
        <w:tc>
          <w:tcPr>
            <w:tcW w:w="1258" w:type="pct"/>
            <w:vAlign w:val="center"/>
          </w:tcPr>
          <w:p w14:paraId="7659010C" w14:textId="31B01EEA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1ml:700单位</w:t>
            </w:r>
          </w:p>
        </w:tc>
        <w:tc>
          <w:tcPr>
            <w:tcW w:w="609" w:type="pct"/>
            <w:vAlign w:val="center"/>
          </w:tcPr>
          <w:p w14:paraId="19BD7AB6" w14:textId="3366AC3B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1170" w:type="pct"/>
            <w:vAlign w:val="center"/>
          </w:tcPr>
          <w:p w14:paraId="02244E2B" w14:textId="23549EFE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诺和</w:t>
            </w:r>
            <w:proofErr w:type="gramStart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诺德</w:t>
            </w:r>
            <w:proofErr w:type="gramEnd"/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中国制药</w:t>
            </w:r>
          </w:p>
        </w:tc>
      </w:tr>
      <w:tr w:rsidR="002770B3" w:rsidRPr="00A65509" w14:paraId="4312863B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2F80285C" w14:textId="78554242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2" w:type="pct"/>
            <w:vAlign w:val="center"/>
          </w:tcPr>
          <w:p w14:paraId="6299203F" w14:textId="3C642FAD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sz w:val="21"/>
                <w:szCs w:val="21"/>
              </w:rPr>
              <w:t>地氟烷</w:t>
            </w:r>
          </w:p>
        </w:tc>
        <w:tc>
          <w:tcPr>
            <w:tcW w:w="708" w:type="pct"/>
            <w:vAlign w:val="center"/>
          </w:tcPr>
          <w:p w14:paraId="2776EE06" w14:textId="4C9EC874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sz w:val="21"/>
                <w:szCs w:val="21"/>
              </w:rPr>
              <w:t>吸入剂型</w:t>
            </w:r>
          </w:p>
        </w:tc>
        <w:tc>
          <w:tcPr>
            <w:tcW w:w="1258" w:type="pct"/>
            <w:vAlign w:val="center"/>
          </w:tcPr>
          <w:p w14:paraId="18962D8E" w14:textId="027CF4FE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sz w:val="21"/>
                <w:szCs w:val="21"/>
              </w:rPr>
              <w:t>240ml</w:t>
            </w:r>
          </w:p>
        </w:tc>
        <w:tc>
          <w:tcPr>
            <w:tcW w:w="609" w:type="pct"/>
            <w:vAlign w:val="center"/>
          </w:tcPr>
          <w:p w14:paraId="08A09EEF" w14:textId="04EA325F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1170" w:type="pct"/>
            <w:vAlign w:val="center"/>
          </w:tcPr>
          <w:p w14:paraId="434CEA28" w14:textId="00643943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sz w:val="21"/>
                <w:szCs w:val="21"/>
              </w:rPr>
              <w:t>上海恒瑞制药</w:t>
            </w:r>
          </w:p>
        </w:tc>
      </w:tr>
      <w:tr w:rsidR="002770B3" w:rsidRPr="00A65509" w14:paraId="4B07E11F" w14:textId="77777777" w:rsidTr="00FA6D3A">
        <w:trPr>
          <w:trHeight w:val="474"/>
          <w:jc w:val="center"/>
        </w:trPr>
        <w:tc>
          <w:tcPr>
            <w:tcW w:w="303" w:type="pct"/>
            <w:vAlign w:val="center"/>
          </w:tcPr>
          <w:p w14:paraId="38B47095" w14:textId="0306FB1D" w:rsidR="002770B3" w:rsidRPr="00A65509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2" w:type="pct"/>
            <w:vAlign w:val="center"/>
          </w:tcPr>
          <w:p w14:paraId="7D4FD439" w14:textId="6A85CCF2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维生素D2软胶囊</w:t>
            </w:r>
          </w:p>
        </w:tc>
        <w:tc>
          <w:tcPr>
            <w:tcW w:w="708" w:type="pct"/>
            <w:vAlign w:val="center"/>
          </w:tcPr>
          <w:p w14:paraId="7A8D9593" w14:textId="0ECF6880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软胶囊</w:t>
            </w:r>
          </w:p>
        </w:tc>
        <w:tc>
          <w:tcPr>
            <w:tcW w:w="1258" w:type="pct"/>
            <w:vAlign w:val="center"/>
          </w:tcPr>
          <w:p w14:paraId="24B026CF" w14:textId="45E8C122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0.25mg</w:t>
            </w: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（1万单位）</w:t>
            </w:r>
          </w:p>
        </w:tc>
        <w:tc>
          <w:tcPr>
            <w:tcW w:w="609" w:type="pct"/>
            <w:vAlign w:val="center"/>
          </w:tcPr>
          <w:p w14:paraId="6D8AECB3" w14:textId="050CE767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仿宋" w:cs="Times New Roman" w:hint="eastAsia"/>
                <w:sz w:val="21"/>
                <w:szCs w:val="21"/>
              </w:rPr>
              <w:t>20</w:t>
            </w:r>
          </w:p>
        </w:tc>
        <w:tc>
          <w:tcPr>
            <w:tcW w:w="1170" w:type="pct"/>
            <w:vAlign w:val="center"/>
          </w:tcPr>
          <w:p w14:paraId="2E2CD012" w14:textId="1FF581A7" w:rsidR="002770B3" w:rsidRPr="002770B3" w:rsidRDefault="002770B3" w:rsidP="002770B3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 w:rsidRPr="002770B3">
              <w:rPr>
                <w:rFonts w:ascii="仿宋_GB2312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江西天之海药业股份有限公司</w:t>
            </w:r>
          </w:p>
        </w:tc>
      </w:tr>
    </w:tbl>
    <w:p w14:paraId="44DE078A" w14:textId="77777777" w:rsidR="00713522" w:rsidRDefault="00713522">
      <w:pPr>
        <w:snapToGrid w:val="0"/>
        <w:spacing w:line="20" w:lineRule="exact"/>
        <w:ind w:firstLineChars="0" w:firstLine="0"/>
      </w:pPr>
    </w:p>
    <w:sectPr w:rsidR="00713522" w:rsidSect="000C0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440" w:bottom="1080" w:left="144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4A5DC" w14:textId="77777777" w:rsidR="00657D7C" w:rsidRDefault="00657D7C">
      <w:pPr>
        <w:spacing w:line="240" w:lineRule="auto"/>
        <w:ind w:firstLine="640"/>
      </w:pPr>
      <w:r>
        <w:separator/>
      </w:r>
    </w:p>
  </w:endnote>
  <w:endnote w:type="continuationSeparator" w:id="0">
    <w:p w14:paraId="2E6CF9A6" w14:textId="77777777" w:rsidR="00657D7C" w:rsidRDefault="00657D7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03E3" w14:textId="77777777" w:rsidR="00713522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DA1E25" wp14:editId="0CC34E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A9866" w14:textId="77777777" w:rsidR="00713522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A1E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7A9866" w14:textId="77777777" w:rsidR="00713522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E154" w14:textId="77777777" w:rsidR="00713522" w:rsidRDefault="00713522">
    <w:pPr>
      <w:pStyle w:val="a3"/>
      <w:ind w:firstLine="360"/>
    </w:pPr>
  </w:p>
  <w:p w14:paraId="1D0B1DB2" w14:textId="77777777" w:rsidR="00713522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ED5A8" wp14:editId="57775C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5E89B" w14:textId="77777777" w:rsidR="00713522" w:rsidRDefault="00000000">
                          <w:pPr>
                            <w:pStyle w:val="a3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ED5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FB5E89B" w14:textId="77777777" w:rsidR="00713522" w:rsidRDefault="00000000">
                    <w:pPr>
                      <w:pStyle w:val="a3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1EF2" w14:textId="77777777" w:rsidR="00713522" w:rsidRDefault="0071352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7E601" w14:textId="77777777" w:rsidR="00657D7C" w:rsidRDefault="00657D7C">
      <w:pPr>
        <w:spacing w:line="240" w:lineRule="auto"/>
        <w:ind w:firstLine="640"/>
      </w:pPr>
      <w:r>
        <w:separator/>
      </w:r>
    </w:p>
  </w:footnote>
  <w:footnote w:type="continuationSeparator" w:id="0">
    <w:p w14:paraId="3C7D307E" w14:textId="77777777" w:rsidR="00657D7C" w:rsidRDefault="00657D7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44B7" w14:textId="77777777" w:rsidR="00713522" w:rsidRDefault="0071352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DA03" w14:textId="77777777" w:rsidR="00713522" w:rsidRDefault="0071352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E52C" w14:textId="77777777" w:rsidR="00713522" w:rsidRDefault="0071352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D4A0FE"/>
    <w:multiLevelType w:val="singleLevel"/>
    <w:tmpl w:val="88D4A0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05666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32"/>
    <w:rsid w:val="00066121"/>
    <w:rsid w:val="00072E1D"/>
    <w:rsid w:val="000766AA"/>
    <w:rsid w:val="000C01EF"/>
    <w:rsid w:val="000C0704"/>
    <w:rsid w:val="000D3DA6"/>
    <w:rsid w:val="000E4DF1"/>
    <w:rsid w:val="000E57D2"/>
    <w:rsid w:val="00111854"/>
    <w:rsid w:val="00144F27"/>
    <w:rsid w:val="0019451B"/>
    <w:rsid w:val="001F692C"/>
    <w:rsid w:val="002770B3"/>
    <w:rsid w:val="00280366"/>
    <w:rsid w:val="00292620"/>
    <w:rsid w:val="002A07BB"/>
    <w:rsid w:val="00396754"/>
    <w:rsid w:val="003C0258"/>
    <w:rsid w:val="003C6E0C"/>
    <w:rsid w:val="003F0477"/>
    <w:rsid w:val="00417DF3"/>
    <w:rsid w:val="00430D08"/>
    <w:rsid w:val="004708D0"/>
    <w:rsid w:val="0047797C"/>
    <w:rsid w:val="0052649E"/>
    <w:rsid w:val="00553701"/>
    <w:rsid w:val="005A4041"/>
    <w:rsid w:val="005A4724"/>
    <w:rsid w:val="005A5BDF"/>
    <w:rsid w:val="00620409"/>
    <w:rsid w:val="0062631B"/>
    <w:rsid w:val="00657D7C"/>
    <w:rsid w:val="006B0EFC"/>
    <w:rsid w:val="00713522"/>
    <w:rsid w:val="00737788"/>
    <w:rsid w:val="007E3A55"/>
    <w:rsid w:val="008478D9"/>
    <w:rsid w:val="00906BD8"/>
    <w:rsid w:val="00916318"/>
    <w:rsid w:val="00934E5D"/>
    <w:rsid w:val="00967BD6"/>
    <w:rsid w:val="00974649"/>
    <w:rsid w:val="009945A2"/>
    <w:rsid w:val="00997D94"/>
    <w:rsid w:val="009B2FA7"/>
    <w:rsid w:val="00A649A8"/>
    <w:rsid w:val="00A65509"/>
    <w:rsid w:val="00AD7C32"/>
    <w:rsid w:val="00B23C5F"/>
    <w:rsid w:val="00B6292F"/>
    <w:rsid w:val="00BF0B96"/>
    <w:rsid w:val="00BF19B4"/>
    <w:rsid w:val="00C24D5D"/>
    <w:rsid w:val="00C253A0"/>
    <w:rsid w:val="00C326DD"/>
    <w:rsid w:val="00C61013"/>
    <w:rsid w:val="00CD513A"/>
    <w:rsid w:val="00D03F5D"/>
    <w:rsid w:val="00D223DA"/>
    <w:rsid w:val="00D43B4B"/>
    <w:rsid w:val="00D66CFE"/>
    <w:rsid w:val="00DA283E"/>
    <w:rsid w:val="00ED6115"/>
    <w:rsid w:val="00EE5D13"/>
    <w:rsid w:val="00F060EA"/>
    <w:rsid w:val="00F42A88"/>
    <w:rsid w:val="00F8771D"/>
    <w:rsid w:val="00FA6D3A"/>
    <w:rsid w:val="00FB274D"/>
    <w:rsid w:val="01922D7D"/>
    <w:rsid w:val="13125D10"/>
    <w:rsid w:val="20D12777"/>
    <w:rsid w:val="2F490E40"/>
    <w:rsid w:val="4B050E22"/>
    <w:rsid w:val="72E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21D4C"/>
  <w15:docId w15:val="{3A7089F6-F526-45C0-B15F-E36C97B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line="276" w:lineRule="auto"/>
      <w:ind w:firstLineChars="0" w:firstLine="0"/>
      <w:jc w:val="left"/>
      <w:outlineLvl w:val="0"/>
    </w:pPr>
    <w:rPr>
      <w:rFonts w:eastAsia="方正小标宋简体" w:cs="方正小标宋简体"/>
      <w:bCs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 w:cs="方正小标宋简体"/>
      <w:bCs/>
      <w:color w:val="000000" w:themeColor="text1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eastAsia="楷体_GB2312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91">
    <w:name w:val="font91"/>
    <w:basedOn w:val="a0"/>
    <w:qFormat/>
    <w:rPr>
      <w:rFonts w:ascii="仿宋_GB2312" w:eastAsia="仿宋_GB2312" w:hint="eastAsia"/>
      <w:color w:val="333333"/>
      <w:sz w:val="20"/>
      <w:szCs w:val="2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4BD245-992F-44A7-A9C5-EA0D7FF04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 郗</dc:creator>
  <cp:lastModifiedBy>3313</cp:lastModifiedBy>
  <cp:revision>21</cp:revision>
  <cp:lastPrinted>2025-10-13T01:59:00Z</cp:lastPrinted>
  <dcterms:created xsi:type="dcterms:W3CDTF">2025-09-23T00:58:00Z</dcterms:created>
  <dcterms:modified xsi:type="dcterms:W3CDTF">2025-12-26T06:01:00Z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eyJoZGlkIjoiMzEwNTM5NzYwMDRjMzkwZTVkZjY2ODkwMGIxNGU0OTUiLCJ1c2VySWQiOiIxNjgyMDI4MDY4In0=</vt:lpwstr>
  </property>
  <property fmtid="{D5CDD505-2E9C-101B-9397-08002B2CF9AE}" pid="3" name="KSOProductBuildVer">
    <vt:lpwstr>2052-12.1.0.21915</vt:lpwstr>
  </property>
  <property fmtid="{D5CDD505-2E9C-101B-9397-08002B2CF9AE}" pid="4" name="ICV">
    <vt:lpwstr>7DC47B16AA944EAF89FAB22E561AA410_12</vt:lpwstr>
  </property>
</Properties>
</file>